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spacing w:after="120" w:line="247" w:lineRule="auto"/>
      </w:pPr>
      <w:r>
        <w:rPr>
          <w:rFonts w:ascii="Lato Light" w:hAnsi="Lato Light"/>
          <w:b/>
          <w:color w:val="000000"/>
          <w:sz w:val="40"/>
        </w:rPr>
        <w:t>EIVIND HAUGLAND</w:t>
      </w:r>
    </w:p>
    <w:p>
      <w:pPr>
        <w:spacing w:after="80" w:line="247" w:lineRule="auto"/>
      </w:pPr>
      <w:r>
        <w:rPr>
          <w:rFonts w:ascii="Lato Light" w:hAnsi="Lato Light"/>
          <w:b/>
          <w:color w:val="000000"/>
          <w:sz w:val="20"/>
        </w:rPr>
        <w:t>Lead Planner and Planning Manager</w:t>
      </w:r>
    </w:p>
    <w:p>
      <w:pPr>
        <w:keepNext/>
        <w:spacing w:after="140" w:line="247" w:lineRule="auto" w:before="200"/>
      </w:pPr>
      <w:r>
        <w:rPr>
          <w:rFonts w:ascii="Lato Light" w:hAnsi="Lato Light"/>
          <w:b/>
          <w:color w:val="000000"/>
          <w:sz w:val="20"/>
        </w:rPr>
        <w:t>Professional profile</w:t>
      </w:r>
    </w:p>
    <w:p>
      <w:pPr>
        <w:spacing w:after="80" w:line="247" w:lineRule="auto"/>
      </w:pPr>
      <w:r>
        <w:rPr>
          <w:rFonts w:ascii="Lato Light" w:hAnsi="Lato Light"/>
          <w:b w:val="0"/>
          <w:color w:val="000000"/>
          <w:sz w:val="20"/>
        </w:rPr>
        <w:t>Planning professional with more than 30 years of experience across oil and gas, offshore wind, process industry and manufacturing. My background spans hands-on fabrication, production management and senior planning roles, with responsibility from early studies through construction, mechanical completion and commissioning.</w:t>
      </w:r>
    </w:p>
    <w:p>
      <w:pPr>
        <w:spacing w:after="80" w:line="247" w:lineRule="auto"/>
      </w:pPr>
      <w:r>
        <w:rPr>
          <w:rFonts w:ascii="Lato Light" w:hAnsi="Lato Light"/>
          <w:b w:val="0"/>
          <w:color w:val="000000"/>
          <w:sz w:val="20"/>
        </w:rPr>
        <w:t>I bring structure to complex projects by connecting discipline schedules with the work that needs to happen on site. My focus is on clear priorities, realistic sequencing and coordination between teams, with time, cost and risk considered together. I also improve planning methods and help teams put new systems into everyday use.</w:t>
      </w:r>
    </w:p>
    <w:p>
      <w:pPr>
        <w:spacing w:after="80" w:line="247" w:lineRule="auto"/>
      </w:pPr>
      <w:r>
        <w:rPr>
          <w:rFonts w:ascii="Lato Light" w:hAnsi="Lato Light"/>
          <w:b w:val="0"/>
          <w:color w:val="000000"/>
          <w:sz w:val="20"/>
        </w:rPr>
        <w:t>Extensive experience with Primavera P6, Primavera Risk Analysis, Safran Project, Safran Planner, Microsoft Project, SAP and ProCoSys.</w:t>
      </w:r>
    </w:p>
    <w:p>
      <w:pPr>
        <w:keepNext/>
        <w:spacing w:after="140" w:line="247" w:lineRule="auto" w:before="200"/>
      </w:pPr>
      <w:r>
        <w:rPr>
          <w:rFonts w:ascii="Lato Light" w:hAnsi="Lato Light"/>
          <w:b/>
          <w:color w:val="000000"/>
          <w:sz w:val="20"/>
        </w:rPr>
        <w:t>Personal details and qualifications</w:t>
      </w:r>
    </w:p>
    <w:tbl>
      <w:tblPr>
        <w:tblW w:type="auto" w:w="0"/>
        <w:jc w:val="left"/>
        <w:tblLayout w:type="fixed"/>
        <w:tblLook w:firstColumn="1" w:firstRow="1" w:lastColumn="0" w:lastRow="0" w:noHBand="0" w:noVBand="1" w:val="04A0"/>
        <w:tblBorders>
          <w:top w:val="nil"/>
          <w:left w:val="nil"/>
          <w:bottom w:val="nil"/>
          <w:right w:val="nil"/>
          <w:insideH w:val="nil"/>
          <w:insideV w:val="nil"/>
        </w:tblBorders>
        <w:tblCellMar>
          <w:top w:w="0" w:type="dxa"/>
          <w:bottom w:w="100" w:type="dxa"/>
          <w:left w:w="0" w:type="dxa"/>
          <w:right w:w="110" w:type="dxa"/>
        </w:tblCellMar>
      </w:tblPr>
      <w:tblGrid>
        <w:gridCol w:w="2591"/>
        <w:gridCol w:w="6661"/>
      </w:tblGrid>
      <w:tr>
        <w:trPr>
          <w:cantSplit/>
        </w:trPr>
        <w:tc>
          <w:tcPr>
            <w:tcW w:type="dxa" w:w="2591"/>
            <w:vAlign w:val="top"/>
          </w:tcPr>
          <w:p>
            <w:pPr>
              <w:spacing w:after="80" w:line="247" w:lineRule="auto"/>
            </w:pPr>
            <w:r>
              <w:rPr>
                <w:rFonts w:ascii="Lato Light" w:hAnsi="Lato Light"/>
                <w:b/>
                <w:color w:val="000000"/>
                <w:sz w:val="20"/>
              </w:rPr>
              <w:t>Location</w:t>
            </w:r>
          </w:p>
        </w:tc>
        <w:tc>
          <w:tcPr>
            <w:tcW w:type="dxa" w:w="6661"/>
            <w:vAlign w:val="top"/>
          </w:tcPr>
          <w:p>
            <w:pPr>
              <w:spacing w:after="80" w:line="247" w:lineRule="auto"/>
            </w:pPr>
            <w:r>
              <w:rPr>
                <w:rFonts w:ascii="Lato Light" w:hAnsi="Lato Light"/>
                <w:b w:val="0"/>
                <w:color w:val="000000"/>
                <w:sz w:val="20"/>
              </w:rPr>
              <w:t>Gothenburg, Sweden / Stavanger, Norway</w:t>
            </w:r>
          </w:p>
        </w:tc>
      </w:tr>
      <w:tr>
        <w:trPr>
          <w:cantSplit/>
        </w:trPr>
        <w:tc>
          <w:tcPr>
            <w:tcW w:type="dxa" w:w="2591"/>
            <w:vAlign w:val="top"/>
          </w:tcPr>
          <w:p>
            <w:pPr>
              <w:spacing w:after="80" w:line="247" w:lineRule="auto"/>
            </w:pPr>
            <w:r>
              <w:rPr>
                <w:rFonts w:ascii="Lato Light" w:hAnsi="Lato Light"/>
                <w:b/>
                <w:color w:val="000000"/>
                <w:sz w:val="20"/>
              </w:rPr>
              <w:t>Year of birth</w:t>
            </w:r>
          </w:p>
        </w:tc>
        <w:tc>
          <w:tcPr>
            <w:tcW w:type="dxa" w:w="6661"/>
            <w:vAlign w:val="top"/>
          </w:tcPr>
          <w:p>
            <w:pPr>
              <w:spacing w:after="80" w:line="247" w:lineRule="auto"/>
            </w:pPr>
            <w:r>
              <w:rPr>
                <w:rFonts w:ascii="Lato Light" w:hAnsi="Lato Light"/>
                <w:b w:val="0"/>
                <w:color w:val="000000"/>
                <w:sz w:val="20"/>
              </w:rPr>
              <w:t>1967</w:t>
            </w:r>
          </w:p>
        </w:tc>
      </w:tr>
      <w:tr>
        <w:trPr>
          <w:cantSplit/>
        </w:trPr>
        <w:tc>
          <w:tcPr>
            <w:tcW w:type="dxa" w:w="2591"/>
            <w:vAlign w:val="top"/>
          </w:tcPr>
          <w:p>
            <w:pPr>
              <w:spacing w:after="80" w:line="247" w:lineRule="auto"/>
            </w:pPr>
            <w:r>
              <w:rPr>
                <w:rFonts w:ascii="Lato Light" w:hAnsi="Lato Light"/>
                <w:b/>
                <w:color w:val="000000"/>
                <w:sz w:val="20"/>
              </w:rPr>
              <w:t>Education</w:t>
            </w:r>
          </w:p>
        </w:tc>
        <w:tc>
          <w:tcPr>
            <w:tcW w:type="dxa" w:w="6661"/>
            <w:vAlign w:val="top"/>
          </w:tcPr>
          <w:p>
            <w:pPr>
              <w:spacing w:after="80" w:line="247" w:lineRule="auto"/>
            </w:pPr>
            <w:r>
              <w:rPr>
                <w:rFonts w:ascii="Lato Light" w:hAnsi="Lato Light"/>
                <w:b w:val="0"/>
                <w:color w:val="000000"/>
                <w:sz w:val="20"/>
              </w:rPr>
              <w:t>Mechanical studies, 1983–1985</w:t>
              <w:br/>
              <w:t>Trade certificate in platework, 1985–1987</w:t>
              <w:br/>
              <w:t>Mechanical engineering studies, 1989–1992</w:t>
            </w:r>
          </w:p>
        </w:tc>
      </w:tr>
      <w:tr>
        <w:trPr>
          <w:cantSplit/>
        </w:trPr>
        <w:tc>
          <w:tcPr>
            <w:tcW w:type="dxa" w:w="2591"/>
            <w:vAlign w:val="top"/>
          </w:tcPr>
          <w:p>
            <w:pPr>
              <w:spacing w:after="80" w:line="247" w:lineRule="auto"/>
            </w:pPr>
            <w:r>
              <w:rPr>
                <w:rFonts w:ascii="Lato Light" w:hAnsi="Lato Light"/>
                <w:b/>
                <w:color w:val="000000"/>
                <w:sz w:val="20"/>
              </w:rPr>
              <w:t>Languages</w:t>
            </w:r>
          </w:p>
        </w:tc>
        <w:tc>
          <w:tcPr>
            <w:tcW w:type="dxa" w:w="6661"/>
            <w:vAlign w:val="top"/>
          </w:tcPr>
          <w:p>
            <w:pPr>
              <w:spacing w:after="80" w:line="247" w:lineRule="auto"/>
            </w:pPr>
            <w:r>
              <w:rPr>
                <w:rFonts w:ascii="Lato Light" w:hAnsi="Lato Light"/>
                <w:b w:val="0"/>
                <w:color w:val="000000"/>
                <w:sz w:val="20"/>
              </w:rPr>
              <w:t>Norwegian: native</w:t>
              <w:br/>
              <w:t>English: fluent</w:t>
              <w:br/>
              <w:t>Swedish: professional working proficiency</w:t>
            </w:r>
          </w:p>
        </w:tc>
      </w:tr>
    </w:tbl>
    <w:p>
      <w:pPr>
        <w:keepNext/>
        <w:spacing w:after="140" w:line="247" w:lineRule="auto" w:before="200"/>
      </w:pPr>
      <w:r>
        <w:rPr>
          <w:rFonts w:ascii="Lato Light" w:hAnsi="Lato Light"/>
          <w:b/>
          <w:color w:val="000000"/>
          <w:sz w:val="20"/>
        </w:rPr>
        <w:t>Professional experience</w:t>
      </w:r>
    </w:p>
    <w:tbl>
      <w:tblPr>
        <w:tblW w:type="auto" w:w="0"/>
        <w:jc w:val="left"/>
        <w:tblLayout w:type="fixed"/>
        <w:tblLook w:firstColumn="1" w:firstRow="1" w:lastColumn="0" w:lastRow="0" w:noHBand="0" w:noVBand="1" w:val="04A0"/>
        <w:tblBorders>
          <w:top w:val="nil"/>
          <w:left w:val="nil"/>
          <w:bottom w:val="nil"/>
          <w:right w:val="nil"/>
          <w:insideH w:val="nil"/>
          <w:insideV w:val="nil"/>
        </w:tblBorders>
        <w:tblCellMar>
          <w:top w:w="0" w:type="dxa"/>
          <w:bottom w:w="100" w:type="dxa"/>
          <w:left w:w="0" w:type="dxa"/>
          <w:right w:w="110" w:type="dxa"/>
        </w:tblCellMar>
      </w:tblPr>
      <w:tblGrid>
        <w:gridCol w:w="2591"/>
        <w:gridCol w:w="6661"/>
      </w:tblGrid>
      <w:tr>
        <w:trPr>
          <w:cantSplit/>
        </w:trPr>
        <w:tc>
          <w:tcPr>
            <w:tcW w:type="dxa" w:w="2591"/>
            <w:vAlign w:val="top"/>
          </w:tcPr>
          <w:p>
            <w:pPr>
              <w:spacing w:after="60" w:line="247" w:lineRule="auto"/>
            </w:pPr>
            <w:r>
              <w:rPr>
                <w:rFonts w:ascii="Lato Light" w:hAnsi="Lato Light"/>
                <w:b/>
                <w:color w:val="000000"/>
                <w:sz w:val="20"/>
              </w:rPr>
              <w:t>Moreld Apply, Norway</w:t>
            </w:r>
          </w:p>
          <w:p>
            <w:pPr>
              <w:spacing w:after="120" w:line="247" w:lineRule="auto"/>
            </w:pPr>
            <w:r>
              <w:rPr>
                <w:rFonts w:ascii="Lato Light" w:hAnsi="Lato Light"/>
                <w:b w:val="0"/>
                <w:color w:val="000000"/>
                <w:sz w:val="18"/>
              </w:rPr>
              <w:t>Mar 2023 – Present</w:t>
            </w:r>
          </w:p>
        </w:tc>
        <w:tc>
          <w:tcPr>
            <w:tcW w:type="dxa" w:w="6661"/>
            <w:vAlign w:val="top"/>
          </w:tcPr>
          <w:p>
            <w:pPr>
              <w:spacing w:after="60" w:line="247" w:lineRule="auto"/>
            </w:pPr>
            <w:r>
              <w:rPr>
                <w:rFonts w:ascii="Lato Light" w:hAnsi="Lato Light"/>
                <w:b/>
                <w:color w:val="000000"/>
                <w:sz w:val="20"/>
              </w:rPr>
              <w:t>Planning Specialist</w:t>
            </w:r>
          </w:p>
          <w:p>
            <w:pPr>
              <w:spacing w:after="120" w:line="247" w:lineRule="auto"/>
            </w:pPr>
            <w:r>
              <w:rPr>
                <w:rFonts w:ascii="Lato Light" w:hAnsi="Lato Light"/>
                <w:b w:val="0"/>
                <w:color w:val="000000"/>
                <w:sz w:val="20"/>
              </w:rPr>
              <w:t>Gina Krog project for Equinor. Office-based planning for a subsea and topside EPCI contract, covering studies, engineering, procurement, prefabrication, installation and mechanical completion.</w:t>
            </w:r>
          </w:p>
        </w:tc>
      </w:tr>
      <w:tr>
        <w:trPr>
          <w:cantSplit/>
        </w:trPr>
        <w:tc>
          <w:tcPr>
            <w:tcW w:type="dxa" w:w="2591"/>
            <w:vAlign w:val="top"/>
          </w:tcPr>
          <w:p>
            <w:pPr>
              <w:spacing w:after="60" w:line="247" w:lineRule="auto"/>
            </w:pPr>
            <w:r>
              <w:rPr>
                <w:rFonts w:ascii="Lato Light" w:hAnsi="Lato Light"/>
                <w:b/>
                <w:color w:val="000000"/>
                <w:sz w:val="20"/>
              </w:rPr>
              <w:t>Worley, Sweden</w:t>
            </w:r>
          </w:p>
          <w:p>
            <w:pPr>
              <w:spacing w:after="120" w:line="247" w:lineRule="auto"/>
            </w:pPr>
            <w:r>
              <w:rPr>
                <w:rFonts w:ascii="Lato Light" w:hAnsi="Lato Light"/>
                <w:b w:val="0"/>
                <w:color w:val="000000"/>
                <w:sz w:val="18"/>
              </w:rPr>
              <w:t>Feb 2022 – Feb 2023</w:t>
            </w:r>
          </w:p>
        </w:tc>
        <w:tc>
          <w:tcPr>
            <w:tcW w:type="dxa" w:w="6661"/>
            <w:vAlign w:val="top"/>
          </w:tcPr>
          <w:p>
            <w:pPr>
              <w:spacing w:after="60" w:line="247" w:lineRule="auto"/>
            </w:pPr>
            <w:r>
              <w:rPr>
                <w:rFonts w:ascii="Lato Light" w:hAnsi="Lato Light"/>
                <w:b/>
                <w:color w:val="000000"/>
                <w:sz w:val="20"/>
              </w:rPr>
              <w:t>Construction and Completion Planner</w:t>
            </w:r>
          </w:p>
          <w:p>
            <w:pPr>
              <w:spacing w:after="120" w:line="247" w:lineRule="auto"/>
            </w:pPr>
            <w:r>
              <w:rPr>
                <w:rFonts w:ascii="Lato Light" w:hAnsi="Lato Light"/>
                <w:b w:val="0"/>
                <w:color w:val="000000"/>
                <w:sz w:val="20"/>
              </w:rPr>
              <w:t>Nouryon AB wastewater treatment project. On-site planning for greenfield and brownfield construction, mechanical completion and commissioning across civil, piping, mechanical, electrical, instrumentation and insulation disciplines.</w:t>
            </w:r>
          </w:p>
        </w:tc>
      </w:tr>
    </w:tbl>
    <w:p>
      <w:r>
        <w:br w:type="page"/>
      </w:r>
    </w:p>
    <w:p>
      <w:pPr>
        <w:keepNext/>
        <w:spacing w:after="140" w:line="247" w:lineRule="auto" w:before="200"/>
      </w:pPr>
      <w:r>
        <w:rPr>
          <w:rFonts w:ascii="Lato Light" w:hAnsi="Lato Light"/>
          <w:b/>
          <w:color w:val="000000"/>
          <w:sz w:val="20"/>
        </w:rPr>
        <w:t>Professional experience continued</w:t>
      </w:r>
    </w:p>
    <w:tbl>
      <w:tblPr>
        <w:tblW w:type="auto" w:w="0"/>
        <w:jc w:val="left"/>
        <w:tblLayout w:type="fixed"/>
        <w:tblLook w:firstColumn="1" w:firstRow="1" w:lastColumn="0" w:lastRow="0" w:noHBand="0" w:noVBand="1" w:val="04A0"/>
        <w:tblBorders>
          <w:top w:val="nil"/>
          <w:left w:val="nil"/>
          <w:bottom w:val="nil"/>
          <w:right w:val="nil"/>
          <w:insideH w:val="nil"/>
          <w:insideV w:val="nil"/>
        </w:tblBorders>
        <w:tblCellMar>
          <w:top w:w="0" w:type="dxa"/>
          <w:bottom w:w="100" w:type="dxa"/>
          <w:left w:w="0" w:type="dxa"/>
          <w:right w:w="110" w:type="dxa"/>
        </w:tblCellMar>
      </w:tblPr>
      <w:tblGrid>
        <w:gridCol w:w="2591"/>
        <w:gridCol w:w="6661"/>
      </w:tblGrid>
      <w:tr>
        <w:trPr>
          <w:cantSplit/>
        </w:trPr>
        <w:tc>
          <w:tcPr>
            <w:tcW w:type="dxa" w:w="2591"/>
            <w:vAlign w:val="top"/>
          </w:tcPr>
          <w:p>
            <w:pPr>
              <w:spacing w:after="60" w:line="247" w:lineRule="auto"/>
            </w:pPr>
            <w:r>
              <w:rPr>
                <w:rFonts w:ascii="Lato Light" w:hAnsi="Lato Light"/>
                <w:b/>
                <w:color w:val="000000"/>
                <w:sz w:val="20"/>
              </w:rPr>
              <w:t>Aibel, Norway</w:t>
            </w:r>
          </w:p>
          <w:p>
            <w:pPr>
              <w:spacing w:after="120" w:line="247" w:lineRule="auto"/>
            </w:pPr>
            <w:r>
              <w:rPr>
                <w:rFonts w:ascii="Lato Light" w:hAnsi="Lato Light"/>
                <w:b w:val="0"/>
                <w:color w:val="000000"/>
                <w:sz w:val="18"/>
              </w:rPr>
              <w:t>Aug 2020 – Jan 2022</w:t>
            </w:r>
          </w:p>
        </w:tc>
        <w:tc>
          <w:tcPr>
            <w:tcW w:type="dxa" w:w="6661"/>
            <w:vAlign w:val="top"/>
          </w:tcPr>
          <w:p>
            <w:pPr>
              <w:spacing w:after="60" w:line="247" w:lineRule="auto"/>
            </w:pPr>
            <w:r>
              <w:rPr>
                <w:rFonts w:ascii="Lato Light" w:hAnsi="Lato Light"/>
                <w:b/>
                <w:color w:val="000000"/>
                <w:sz w:val="20"/>
              </w:rPr>
              <w:t>Engineering and Completion Planning Lead</w:t>
            </w:r>
          </w:p>
          <w:p>
            <w:pPr>
              <w:spacing w:after="120" w:line="247" w:lineRule="auto"/>
            </w:pPr>
            <w:r>
              <w:rPr>
                <w:rFonts w:ascii="Lato Light" w:hAnsi="Lato Light"/>
                <w:b w:val="0"/>
                <w:color w:val="000000"/>
                <w:sz w:val="20"/>
              </w:rPr>
              <w:t>DolWin 5 offshore wind project, Haugesund. Responsible for engineering and mechanical completion / commissioning planning, with engineering in Norway and construction and mechanical completion in Singapore.</w:t>
            </w:r>
          </w:p>
        </w:tc>
      </w:tr>
      <w:tr>
        <w:trPr>
          <w:cantSplit/>
        </w:trPr>
        <w:tc>
          <w:tcPr>
            <w:tcW w:type="dxa" w:w="2591"/>
            <w:vAlign w:val="top"/>
          </w:tcPr>
          <w:p>
            <w:pPr>
              <w:spacing w:after="60" w:line="247" w:lineRule="auto"/>
            </w:pPr>
            <w:r>
              <w:rPr>
                <w:rFonts w:ascii="Lato Light" w:hAnsi="Lato Light"/>
                <w:b/>
                <w:color w:val="000000"/>
                <w:sz w:val="20"/>
              </w:rPr>
              <w:t>Worley, Sweden</w:t>
            </w:r>
          </w:p>
          <w:p>
            <w:pPr>
              <w:spacing w:after="120" w:line="247" w:lineRule="auto"/>
            </w:pPr>
            <w:r>
              <w:rPr>
                <w:rFonts w:ascii="Lato Light" w:hAnsi="Lato Light"/>
                <w:b w:val="0"/>
                <w:color w:val="000000"/>
                <w:sz w:val="18"/>
              </w:rPr>
              <w:t>Sep 2018 – Jul 2020</w:t>
            </w:r>
          </w:p>
        </w:tc>
        <w:tc>
          <w:tcPr>
            <w:tcW w:type="dxa" w:w="6661"/>
            <w:vAlign w:val="top"/>
          </w:tcPr>
          <w:p>
            <w:pPr>
              <w:spacing w:after="60" w:line="247" w:lineRule="auto"/>
            </w:pPr>
            <w:r>
              <w:rPr>
                <w:rFonts w:ascii="Lato Light" w:hAnsi="Lato Light"/>
                <w:b/>
                <w:color w:val="000000"/>
                <w:sz w:val="20"/>
              </w:rPr>
              <w:t>Planning Manager</w:t>
            </w:r>
          </w:p>
          <w:p>
            <w:pPr>
              <w:spacing w:after="120" w:line="247" w:lineRule="auto"/>
            </w:pPr>
            <w:r>
              <w:rPr>
                <w:rFonts w:ascii="Lato Light" w:hAnsi="Lato Light"/>
                <w:b w:val="0"/>
                <w:color w:val="000000"/>
                <w:sz w:val="20"/>
              </w:rPr>
              <w:t>L.153 project at Borealis, Stenungsund. Managed on-site planning for engineering, construction, mechanical completion and commissioning across greenfield and brownfield scopes.</w:t>
            </w:r>
          </w:p>
        </w:tc>
      </w:tr>
      <w:tr>
        <w:trPr>
          <w:cantSplit/>
        </w:trPr>
        <w:tc>
          <w:tcPr>
            <w:tcW w:type="dxa" w:w="2591"/>
            <w:vAlign w:val="top"/>
          </w:tcPr>
          <w:p>
            <w:pPr>
              <w:spacing w:after="60" w:line="247" w:lineRule="auto"/>
            </w:pPr>
            <w:r>
              <w:rPr>
                <w:rFonts w:ascii="Lato Light" w:hAnsi="Lato Light"/>
                <w:b/>
                <w:color w:val="000000"/>
                <w:sz w:val="20"/>
              </w:rPr>
              <w:t>AF, Sweden</w:t>
            </w:r>
          </w:p>
          <w:p>
            <w:pPr>
              <w:spacing w:after="120" w:line="247" w:lineRule="auto"/>
            </w:pPr>
            <w:r>
              <w:rPr>
                <w:rFonts w:ascii="Lato Light" w:hAnsi="Lato Light"/>
                <w:b w:val="0"/>
                <w:color w:val="000000"/>
                <w:sz w:val="18"/>
              </w:rPr>
              <w:t>Nov 2017 – Sep 2018</w:t>
            </w:r>
          </w:p>
        </w:tc>
        <w:tc>
          <w:tcPr>
            <w:tcW w:type="dxa" w:w="6661"/>
            <w:vAlign w:val="top"/>
          </w:tcPr>
          <w:p>
            <w:pPr>
              <w:spacing w:after="60" w:line="247" w:lineRule="auto"/>
            </w:pPr>
            <w:r>
              <w:rPr>
                <w:rFonts w:ascii="Lato Light" w:hAnsi="Lato Light"/>
                <w:b/>
                <w:color w:val="000000"/>
                <w:sz w:val="20"/>
              </w:rPr>
              <w:t>Planning Lead</w:t>
            </w:r>
          </w:p>
          <w:p>
            <w:pPr>
              <w:spacing w:after="120" w:line="247" w:lineRule="auto"/>
            </w:pPr>
            <w:r>
              <w:rPr>
                <w:rFonts w:ascii="Lato Light" w:hAnsi="Lato Light"/>
                <w:b w:val="0"/>
                <w:color w:val="000000"/>
                <w:sz w:val="20"/>
              </w:rPr>
              <w:t>LYNX project at Inovyn, Sweden. Led on-site planning for engineering and construction through mechanical completion and commissioning, covering greenfield and brownfield work.</w:t>
            </w:r>
          </w:p>
        </w:tc>
      </w:tr>
      <w:tr>
        <w:trPr>
          <w:cantSplit/>
        </w:trPr>
        <w:tc>
          <w:tcPr>
            <w:tcW w:type="dxa" w:w="2591"/>
            <w:vAlign w:val="top"/>
          </w:tcPr>
          <w:p>
            <w:pPr>
              <w:spacing w:after="60" w:line="247" w:lineRule="auto"/>
            </w:pPr>
            <w:r>
              <w:rPr>
                <w:rFonts w:ascii="Lato Light" w:hAnsi="Lato Light"/>
                <w:b/>
                <w:color w:val="000000"/>
                <w:sz w:val="20"/>
              </w:rPr>
              <w:t>Fabricom Engie</w:t>
            </w:r>
          </w:p>
          <w:p>
            <w:pPr>
              <w:spacing w:after="120" w:line="247" w:lineRule="auto"/>
            </w:pPr>
            <w:r>
              <w:rPr>
                <w:rFonts w:ascii="Lato Light" w:hAnsi="Lato Light"/>
                <w:b w:val="0"/>
                <w:color w:val="000000"/>
                <w:sz w:val="18"/>
              </w:rPr>
              <w:t>Apr 2017 – Nov 2017</w:t>
            </w:r>
          </w:p>
        </w:tc>
        <w:tc>
          <w:tcPr>
            <w:tcW w:type="dxa" w:w="6661"/>
            <w:vAlign w:val="top"/>
          </w:tcPr>
          <w:p>
            <w:pPr>
              <w:spacing w:after="60" w:line="247" w:lineRule="auto"/>
            </w:pPr>
            <w:r>
              <w:rPr>
                <w:rFonts w:ascii="Lato Light" w:hAnsi="Lato Light"/>
                <w:b/>
                <w:color w:val="000000"/>
                <w:sz w:val="20"/>
              </w:rPr>
              <w:t>Planning Specialist</w:t>
            </w:r>
          </w:p>
          <w:p>
            <w:pPr>
              <w:spacing w:after="120" w:line="247" w:lineRule="auto"/>
            </w:pPr>
            <w:r>
              <w:rPr>
                <w:rFonts w:ascii="Lato Light" w:hAnsi="Lato Light"/>
                <w:b w:val="0"/>
                <w:color w:val="000000"/>
                <w:sz w:val="20"/>
              </w:rPr>
              <w:t>Project planning and reporting across offshore flowline and maintenance, modification and operations (MMO) projects.</w:t>
            </w:r>
          </w:p>
        </w:tc>
      </w:tr>
      <w:tr>
        <w:trPr>
          <w:cantSplit/>
        </w:trPr>
        <w:tc>
          <w:tcPr>
            <w:tcW w:type="dxa" w:w="2591"/>
            <w:vAlign w:val="top"/>
          </w:tcPr>
          <w:p>
            <w:pPr>
              <w:spacing w:after="60" w:line="247" w:lineRule="auto"/>
            </w:pPr>
            <w:r>
              <w:rPr>
                <w:rFonts w:ascii="Lato Light" w:hAnsi="Lato Light"/>
                <w:b/>
                <w:color w:val="000000"/>
                <w:sz w:val="20"/>
              </w:rPr>
              <w:t>ABB AB</w:t>
            </w:r>
          </w:p>
          <w:p>
            <w:pPr>
              <w:spacing w:after="120" w:line="247" w:lineRule="auto"/>
            </w:pPr>
            <w:r>
              <w:rPr>
                <w:rFonts w:ascii="Lato Light" w:hAnsi="Lato Light"/>
                <w:b w:val="0"/>
                <w:color w:val="000000"/>
                <w:sz w:val="18"/>
              </w:rPr>
              <w:t>Aug 2015 – Mar 2017</w:t>
            </w:r>
          </w:p>
        </w:tc>
        <w:tc>
          <w:tcPr>
            <w:tcW w:type="dxa" w:w="6661"/>
            <w:vAlign w:val="top"/>
          </w:tcPr>
          <w:p>
            <w:pPr>
              <w:spacing w:after="60" w:line="247" w:lineRule="auto"/>
            </w:pPr>
            <w:r>
              <w:rPr>
                <w:rFonts w:ascii="Lato Light" w:hAnsi="Lato Light"/>
                <w:b/>
                <w:color w:val="000000"/>
                <w:sz w:val="20"/>
              </w:rPr>
              <w:t>Offshore Coordination Manager</w:t>
            </w:r>
          </w:p>
          <w:p>
            <w:pPr>
              <w:spacing w:after="120" w:line="247" w:lineRule="auto"/>
            </w:pPr>
            <w:r>
              <w:rPr>
                <w:rFonts w:ascii="Lato Light" w:hAnsi="Lato Light"/>
                <w:b w:val="0"/>
                <w:color w:val="000000"/>
                <w:sz w:val="20"/>
              </w:rPr>
              <w:t>DolWin 2 offshore wind platform. Planned and coordinated all offshore work, checking that materials, tools, qualified personnel, permits and certificates were in place before execution. Oversaw work preparation to support the offshore schedule.</w:t>
            </w:r>
          </w:p>
        </w:tc>
      </w:tr>
      <w:tr>
        <w:trPr>
          <w:cantSplit/>
        </w:trPr>
        <w:tc>
          <w:tcPr>
            <w:tcW w:type="dxa" w:w="2591"/>
            <w:vAlign w:val="top"/>
          </w:tcPr>
          <w:p>
            <w:pPr>
              <w:spacing w:after="60" w:line="247" w:lineRule="auto"/>
            </w:pPr>
            <w:r>
              <w:rPr>
                <w:rFonts w:ascii="Lato Light" w:hAnsi="Lato Light"/>
                <w:b/>
                <w:color w:val="000000"/>
                <w:sz w:val="20"/>
              </w:rPr>
              <w:t>ABB AB</w:t>
            </w:r>
          </w:p>
          <w:p>
            <w:pPr>
              <w:spacing w:after="120" w:line="247" w:lineRule="auto"/>
            </w:pPr>
            <w:r>
              <w:rPr>
                <w:rFonts w:ascii="Lato Light" w:hAnsi="Lato Light"/>
                <w:b w:val="0"/>
                <w:color w:val="000000"/>
                <w:sz w:val="18"/>
              </w:rPr>
              <w:t>Feb 2015 – Jul 2015</w:t>
            </w:r>
          </w:p>
        </w:tc>
        <w:tc>
          <w:tcPr>
            <w:tcW w:type="dxa" w:w="6661"/>
            <w:vAlign w:val="top"/>
          </w:tcPr>
          <w:p>
            <w:pPr>
              <w:spacing w:after="60" w:line="247" w:lineRule="auto"/>
            </w:pPr>
            <w:r>
              <w:rPr>
                <w:rFonts w:ascii="Lato Light" w:hAnsi="Lato Light"/>
                <w:b/>
                <w:color w:val="000000"/>
                <w:sz w:val="20"/>
              </w:rPr>
              <w:t>Completion Planner</w:t>
            </w:r>
          </w:p>
          <w:p>
            <w:pPr>
              <w:spacing w:after="120" w:line="247" w:lineRule="auto"/>
            </w:pPr>
            <w:r>
              <w:rPr>
                <w:rFonts w:ascii="Lato Light" w:hAnsi="Lato Light"/>
                <w:b w:val="0"/>
                <w:color w:val="000000"/>
                <w:sz w:val="20"/>
              </w:rPr>
              <w:t>DolWin 2 offshore wind platform at Aibel’s Haugesund yard. Planned completion activities during the final yard phase before sail-away and offshore installation.</w:t>
            </w:r>
          </w:p>
        </w:tc>
      </w:tr>
    </w:tbl>
    <w:p>
      <w:r>
        <w:br w:type="page"/>
      </w:r>
    </w:p>
    <w:p>
      <w:pPr>
        <w:keepNext/>
        <w:spacing w:after="140" w:line="247" w:lineRule="auto" w:before="200"/>
      </w:pPr>
      <w:r>
        <w:rPr>
          <w:rFonts w:ascii="Lato Light" w:hAnsi="Lato Light"/>
          <w:b/>
          <w:color w:val="000000"/>
          <w:sz w:val="20"/>
        </w:rPr>
        <w:t>Professional experience continued</w:t>
      </w:r>
    </w:p>
    <w:tbl>
      <w:tblPr>
        <w:tblW w:type="auto" w:w="0"/>
        <w:jc w:val="left"/>
        <w:tblLayout w:type="fixed"/>
        <w:tblLook w:firstColumn="1" w:firstRow="1" w:lastColumn="0" w:lastRow="0" w:noHBand="0" w:noVBand="1" w:val="04A0"/>
        <w:tblBorders>
          <w:top w:val="nil"/>
          <w:left w:val="nil"/>
          <w:bottom w:val="nil"/>
          <w:right w:val="nil"/>
          <w:insideH w:val="nil"/>
          <w:insideV w:val="nil"/>
        </w:tblBorders>
        <w:tblCellMar>
          <w:top w:w="0" w:type="dxa"/>
          <w:bottom w:w="100" w:type="dxa"/>
          <w:left w:w="0" w:type="dxa"/>
          <w:right w:w="110" w:type="dxa"/>
        </w:tblCellMar>
      </w:tblPr>
      <w:tblGrid>
        <w:gridCol w:w="2591"/>
        <w:gridCol w:w="6661"/>
      </w:tblGrid>
      <w:tr>
        <w:trPr>
          <w:cantSplit/>
        </w:trPr>
        <w:tc>
          <w:tcPr>
            <w:tcW w:type="dxa" w:w="2591"/>
            <w:vAlign w:val="top"/>
          </w:tcPr>
          <w:p>
            <w:pPr>
              <w:spacing w:after="60" w:line="247" w:lineRule="auto"/>
            </w:pPr>
            <w:r>
              <w:rPr>
                <w:rFonts w:ascii="Lato Light" w:hAnsi="Lato Light"/>
                <w:b/>
                <w:color w:val="000000"/>
                <w:sz w:val="20"/>
              </w:rPr>
              <w:t>Aibel AS</w:t>
            </w:r>
          </w:p>
          <w:p>
            <w:pPr>
              <w:spacing w:after="120" w:line="247" w:lineRule="auto"/>
            </w:pPr>
            <w:r>
              <w:rPr>
                <w:rFonts w:ascii="Lato Light" w:hAnsi="Lato Light"/>
                <w:b w:val="0"/>
                <w:color w:val="000000"/>
                <w:sz w:val="18"/>
              </w:rPr>
              <w:t>Aug 2012 – Dec 2014</w:t>
            </w:r>
          </w:p>
        </w:tc>
        <w:tc>
          <w:tcPr>
            <w:tcW w:type="dxa" w:w="6661"/>
            <w:vAlign w:val="top"/>
          </w:tcPr>
          <w:p>
            <w:pPr>
              <w:spacing w:after="60" w:line="247" w:lineRule="auto"/>
            </w:pPr>
            <w:r>
              <w:rPr>
                <w:rFonts w:ascii="Lato Light" w:hAnsi="Lato Light"/>
                <w:b/>
                <w:color w:val="000000"/>
                <w:sz w:val="20"/>
              </w:rPr>
              <w:t>Senior Project Planner</w:t>
            </w:r>
          </w:p>
          <w:p>
            <w:pPr>
              <w:spacing w:after="120" w:line="247" w:lineRule="auto"/>
            </w:pPr>
            <w:r>
              <w:rPr>
                <w:rFonts w:ascii="Lato Light" w:hAnsi="Lato Light"/>
                <w:b w:val="0"/>
                <w:color w:val="000000"/>
                <w:sz w:val="20"/>
              </w:rPr>
              <w:t>Statoil MMO contract. Planned living quarters upgrades on Statfjord A, B and C and the Draupner platform. Worked across multiple projects from study to completion, using SAP and ProCoSys.</w:t>
            </w:r>
          </w:p>
        </w:tc>
      </w:tr>
      <w:tr>
        <w:trPr>
          <w:cantSplit/>
        </w:trPr>
        <w:tc>
          <w:tcPr>
            <w:tcW w:type="dxa" w:w="2591"/>
            <w:vAlign w:val="top"/>
          </w:tcPr>
          <w:p>
            <w:pPr>
              <w:spacing w:after="60" w:line="247" w:lineRule="auto"/>
            </w:pPr>
            <w:r>
              <w:rPr>
                <w:rFonts w:ascii="Lato Light" w:hAnsi="Lato Light"/>
                <w:b/>
                <w:color w:val="000000"/>
                <w:sz w:val="20"/>
              </w:rPr>
              <w:t>MPM AS</w:t>
            </w:r>
          </w:p>
          <w:p>
            <w:pPr>
              <w:spacing w:after="120" w:line="247" w:lineRule="auto"/>
            </w:pPr>
            <w:r>
              <w:rPr>
                <w:rFonts w:ascii="Lato Light" w:hAnsi="Lato Light"/>
                <w:b w:val="0"/>
                <w:color w:val="000000"/>
                <w:sz w:val="18"/>
              </w:rPr>
              <w:t>Dec 2011 – Jul 2012</w:t>
            </w:r>
          </w:p>
        </w:tc>
        <w:tc>
          <w:tcPr>
            <w:tcW w:type="dxa" w:w="6661"/>
            <w:vAlign w:val="top"/>
          </w:tcPr>
          <w:p>
            <w:pPr>
              <w:spacing w:after="60" w:line="247" w:lineRule="auto"/>
            </w:pPr>
            <w:r>
              <w:rPr>
                <w:rFonts w:ascii="Lato Light" w:hAnsi="Lato Light"/>
                <w:b/>
                <w:color w:val="000000"/>
                <w:sz w:val="20"/>
              </w:rPr>
              <w:t>Senior Planning and QA Coordinator</w:t>
            </w:r>
          </w:p>
          <w:p>
            <w:pPr>
              <w:spacing w:after="120" w:line="247" w:lineRule="auto"/>
            </w:pPr>
            <w:r>
              <w:rPr>
                <w:rFonts w:ascii="Lato Light" w:hAnsi="Lato Light"/>
                <w:b w:val="0"/>
                <w:color w:val="000000"/>
                <w:sz w:val="20"/>
              </w:rPr>
              <w:t>Managed facilities and coordinated interfaces for maintenance, construction and building extensions, including production and test facilities. Helped implement Safran Planner to replace Microsoft Project and establish best practice within the planning department.</w:t>
            </w:r>
          </w:p>
        </w:tc>
      </w:tr>
      <w:tr>
        <w:trPr>
          <w:cantSplit/>
        </w:trPr>
        <w:tc>
          <w:tcPr>
            <w:tcW w:type="dxa" w:w="2591"/>
            <w:vAlign w:val="top"/>
          </w:tcPr>
          <w:p>
            <w:pPr>
              <w:spacing w:after="60" w:line="247" w:lineRule="auto"/>
            </w:pPr>
            <w:r>
              <w:rPr>
                <w:rFonts w:ascii="Lato Light" w:hAnsi="Lato Light"/>
                <w:b/>
                <w:color w:val="000000"/>
                <w:sz w:val="20"/>
              </w:rPr>
              <w:t>MPM AS</w:t>
            </w:r>
          </w:p>
          <w:p>
            <w:pPr>
              <w:spacing w:after="120" w:line="247" w:lineRule="auto"/>
            </w:pPr>
            <w:r>
              <w:rPr>
                <w:rFonts w:ascii="Lato Light" w:hAnsi="Lato Light"/>
                <w:b w:val="0"/>
                <w:color w:val="000000"/>
                <w:sz w:val="18"/>
              </w:rPr>
              <w:t>Apr 2008 – Dec 2011</w:t>
            </w:r>
          </w:p>
        </w:tc>
        <w:tc>
          <w:tcPr>
            <w:tcW w:type="dxa" w:w="6661"/>
            <w:vAlign w:val="top"/>
          </w:tcPr>
          <w:p>
            <w:pPr>
              <w:spacing w:after="60" w:line="247" w:lineRule="auto"/>
            </w:pPr>
            <w:r>
              <w:rPr>
                <w:rFonts w:ascii="Lato Light" w:hAnsi="Lato Light"/>
                <w:b/>
                <w:color w:val="000000"/>
                <w:sz w:val="20"/>
              </w:rPr>
              <w:t>Production Manager</w:t>
            </w:r>
          </w:p>
          <w:p>
            <w:pPr>
              <w:spacing w:after="120" w:line="247" w:lineRule="auto"/>
            </w:pPr>
            <w:r>
              <w:rPr>
                <w:rFonts w:ascii="Lato Light" w:hAnsi="Lato Light"/>
                <w:b w:val="0"/>
                <w:color w:val="000000"/>
                <w:sz w:val="20"/>
              </w:rPr>
              <w:t>Managed the production and test department and introduced Lean Production principles. From April 2008 to April 2010, also established and maintained project schedules covering engineering, procurement, installation and delivery. Responsible for implementing Microsoft Project Server and Safran Project.</w:t>
            </w:r>
          </w:p>
        </w:tc>
      </w:tr>
      <w:tr>
        <w:trPr>
          <w:cantSplit/>
        </w:trPr>
        <w:tc>
          <w:tcPr>
            <w:tcW w:type="dxa" w:w="2591"/>
            <w:vAlign w:val="top"/>
          </w:tcPr>
          <w:p>
            <w:pPr>
              <w:spacing w:after="60" w:line="247" w:lineRule="auto"/>
            </w:pPr>
            <w:r>
              <w:rPr>
                <w:rFonts w:ascii="Lato Light" w:hAnsi="Lato Light"/>
                <w:b/>
                <w:color w:val="000000"/>
                <w:sz w:val="20"/>
              </w:rPr>
              <w:t>Fabricom AS</w:t>
            </w:r>
          </w:p>
          <w:p>
            <w:pPr>
              <w:spacing w:after="120" w:line="247" w:lineRule="auto"/>
            </w:pPr>
            <w:r>
              <w:rPr>
                <w:rFonts w:ascii="Lato Light" w:hAnsi="Lato Light"/>
                <w:b w:val="0"/>
                <w:color w:val="000000"/>
                <w:sz w:val="18"/>
              </w:rPr>
              <w:t>Mar 2007 – Apr 2008</w:t>
            </w:r>
          </w:p>
        </w:tc>
        <w:tc>
          <w:tcPr>
            <w:tcW w:type="dxa" w:w="6661"/>
            <w:vAlign w:val="top"/>
          </w:tcPr>
          <w:p>
            <w:pPr>
              <w:spacing w:after="60" w:line="247" w:lineRule="auto"/>
            </w:pPr>
            <w:r>
              <w:rPr>
                <w:rFonts w:ascii="Lato Light" w:hAnsi="Lato Light"/>
                <w:b/>
                <w:color w:val="000000"/>
                <w:sz w:val="20"/>
              </w:rPr>
              <w:t>Project Area Lead and Project Manager</w:t>
            </w:r>
          </w:p>
          <w:p>
            <w:pPr>
              <w:spacing w:after="120" w:line="247" w:lineRule="auto"/>
            </w:pPr>
            <w:r>
              <w:rPr>
                <w:rFonts w:ascii="Lato Light" w:hAnsi="Lato Light"/>
                <w:b w:val="0"/>
                <w:color w:val="000000"/>
                <w:sz w:val="20"/>
              </w:rPr>
              <w:t>Greater Ekofisk Modifications for ConocoPhillips. Managed flowline projects on Ekofisk K, B and A, together with minor maintenance jobs (PMO). Led a 13-person multidisciplinary team covering piping, stress analysis, structural work and instrumentation, and established prefabrication and installation plans for assigned PMO jobs.</w:t>
            </w:r>
          </w:p>
        </w:tc>
      </w:tr>
      <w:tr>
        <w:trPr>
          <w:cantSplit/>
        </w:trPr>
        <w:tc>
          <w:tcPr>
            <w:tcW w:type="dxa" w:w="2591"/>
            <w:vAlign w:val="top"/>
          </w:tcPr>
          <w:p>
            <w:pPr>
              <w:spacing w:after="60" w:line="247" w:lineRule="auto"/>
            </w:pPr>
            <w:r>
              <w:rPr>
                <w:rFonts w:ascii="Lato Light" w:hAnsi="Lato Light"/>
                <w:b/>
                <w:color w:val="000000"/>
                <w:sz w:val="20"/>
              </w:rPr>
              <w:t>Fabricom AS</w:t>
            </w:r>
          </w:p>
          <w:p>
            <w:pPr>
              <w:spacing w:after="120" w:line="247" w:lineRule="auto"/>
            </w:pPr>
            <w:r>
              <w:rPr>
                <w:rFonts w:ascii="Lato Light" w:hAnsi="Lato Light"/>
                <w:b w:val="0"/>
                <w:color w:val="000000"/>
                <w:sz w:val="18"/>
              </w:rPr>
              <w:t>Nov 2005 – Mar 2007</w:t>
            </w:r>
          </w:p>
        </w:tc>
        <w:tc>
          <w:tcPr>
            <w:tcW w:type="dxa" w:w="6661"/>
            <w:vAlign w:val="top"/>
          </w:tcPr>
          <w:p>
            <w:pPr>
              <w:spacing w:after="60" w:line="247" w:lineRule="auto"/>
            </w:pPr>
            <w:r>
              <w:rPr>
                <w:rFonts w:ascii="Lato Light" w:hAnsi="Lato Light"/>
                <w:b/>
                <w:color w:val="000000"/>
                <w:sz w:val="20"/>
              </w:rPr>
              <w:t>Senior Project Planning Department Lead</w:t>
            </w:r>
          </w:p>
          <w:p>
            <w:pPr>
              <w:spacing w:after="120" w:line="247" w:lineRule="auto"/>
            </w:pPr>
            <w:r>
              <w:rPr>
                <w:rFonts w:ascii="Lato Light" w:hAnsi="Lato Light"/>
                <w:b w:val="0"/>
                <w:color w:val="000000"/>
                <w:sz w:val="20"/>
              </w:rPr>
              <w:t>Greater Ekofisk Modifications for ConocoPhillips. Led the project planning group for prefabrication and installation of flowlines and gas lines at wellheads. Established and maintained planning procedures and the project coding structure, with responsibility for weekly schedule updates and progress and time reporting.</w:t>
            </w:r>
          </w:p>
        </w:tc>
      </w:tr>
    </w:tbl>
    <w:p>
      <w:r>
        <w:br w:type="page"/>
      </w:r>
    </w:p>
    <w:p>
      <w:pPr>
        <w:keepNext/>
        <w:spacing w:after="140" w:line="247" w:lineRule="auto" w:before="200"/>
      </w:pPr>
      <w:r>
        <w:rPr>
          <w:rFonts w:ascii="Lato Light" w:hAnsi="Lato Light"/>
          <w:b/>
          <w:color w:val="000000"/>
          <w:sz w:val="20"/>
        </w:rPr>
        <w:t>Professional experience continued</w:t>
      </w:r>
    </w:p>
    <w:tbl>
      <w:tblPr>
        <w:tblW w:type="auto" w:w="0"/>
        <w:jc w:val="left"/>
        <w:tblLayout w:type="fixed"/>
        <w:tblLook w:firstColumn="1" w:firstRow="1" w:lastColumn="0" w:lastRow="0" w:noHBand="0" w:noVBand="1" w:val="04A0"/>
        <w:tblBorders>
          <w:top w:val="nil"/>
          <w:left w:val="nil"/>
          <w:bottom w:val="nil"/>
          <w:right w:val="nil"/>
          <w:insideH w:val="nil"/>
          <w:insideV w:val="nil"/>
        </w:tblBorders>
        <w:tblCellMar>
          <w:top w:w="0" w:type="dxa"/>
          <w:bottom w:w="100" w:type="dxa"/>
          <w:left w:w="0" w:type="dxa"/>
          <w:right w:w="110" w:type="dxa"/>
        </w:tblCellMar>
      </w:tblPr>
      <w:tblGrid>
        <w:gridCol w:w="2591"/>
        <w:gridCol w:w="6661"/>
      </w:tblGrid>
      <w:tr>
        <w:trPr>
          <w:cantSplit/>
        </w:trPr>
        <w:tc>
          <w:tcPr>
            <w:tcW w:type="dxa" w:w="2591"/>
            <w:vAlign w:val="top"/>
          </w:tcPr>
          <w:p>
            <w:pPr>
              <w:spacing w:after="60" w:line="247" w:lineRule="auto"/>
            </w:pPr>
            <w:r>
              <w:rPr>
                <w:rFonts w:ascii="Lato Light" w:hAnsi="Lato Light"/>
                <w:b/>
                <w:color w:val="000000"/>
                <w:sz w:val="20"/>
              </w:rPr>
              <w:t>Aker Kvaerner Stord AS</w:t>
            </w:r>
          </w:p>
          <w:p>
            <w:pPr>
              <w:spacing w:after="120" w:line="247" w:lineRule="auto"/>
            </w:pPr>
            <w:r>
              <w:rPr>
                <w:rFonts w:ascii="Lato Light" w:hAnsi="Lato Light"/>
                <w:b w:val="0"/>
                <w:color w:val="000000"/>
                <w:sz w:val="18"/>
              </w:rPr>
              <w:t>Jan 2005 – Nov 2005</w:t>
            </w:r>
          </w:p>
        </w:tc>
        <w:tc>
          <w:tcPr>
            <w:tcW w:type="dxa" w:w="6661"/>
            <w:vAlign w:val="top"/>
          </w:tcPr>
          <w:p>
            <w:pPr>
              <w:spacing w:after="60" w:line="247" w:lineRule="auto"/>
            </w:pPr>
            <w:r>
              <w:rPr>
                <w:rFonts w:ascii="Lato Light" w:hAnsi="Lato Light"/>
                <w:b/>
                <w:color w:val="000000"/>
                <w:sz w:val="20"/>
              </w:rPr>
              <w:t>Project Planner</w:t>
            </w:r>
          </w:p>
          <w:p>
            <w:pPr>
              <w:spacing w:after="120" w:line="247" w:lineRule="auto"/>
            </w:pPr>
            <w:r>
              <w:rPr>
                <w:rFonts w:ascii="Lato Light" w:hAnsi="Lato Light"/>
                <w:b w:val="0"/>
                <w:color w:val="000000"/>
                <w:sz w:val="20"/>
              </w:rPr>
              <w:t>Ormen Lange MIC project for Norsk Hydro. Responsible for multidisciplinary planning of the main pipe racks, representing approximately 100,000 work-hours. Established activities for prefabrication and assembly by subcontractors in Belgium and installation at Nyhamna, Norway.</w:t>
            </w:r>
          </w:p>
        </w:tc>
      </w:tr>
      <w:tr>
        <w:trPr>
          <w:cantSplit/>
        </w:trPr>
        <w:tc>
          <w:tcPr>
            <w:tcW w:type="dxa" w:w="2591"/>
            <w:vAlign w:val="top"/>
          </w:tcPr>
          <w:p>
            <w:pPr>
              <w:spacing w:after="60" w:line="247" w:lineRule="auto"/>
            </w:pPr>
            <w:r>
              <w:rPr>
                <w:rFonts w:ascii="Lato Light" w:hAnsi="Lato Light"/>
                <w:b/>
                <w:color w:val="000000"/>
                <w:sz w:val="20"/>
              </w:rPr>
              <w:t>Rogaland County Council</w:t>
            </w:r>
          </w:p>
          <w:p>
            <w:pPr>
              <w:spacing w:after="120" w:line="247" w:lineRule="auto"/>
            </w:pPr>
            <w:r>
              <w:rPr>
                <w:rFonts w:ascii="Lato Light" w:hAnsi="Lato Light"/>
                <w:b w:val="0"/>
                <w:color w:val="000000"/>
                <w:sz w:val="18"/>
              </w:rPr>
              <w:t>Aug 2001 – Dec 2004</w:t>
            </w:r>
          </w:p>
        </w:tc>
        <w:tc>
          <w:tcPr>
            <w:tcW w:type="dxa" w:w="6661"/>
            <w:vAlign w:val="top"/>
          </w:tcPr>
          <w:p>
            <w:pPr>
              <w:spacing w:after="60" w:line="247" w:lineRule="auto"/>
            </w:pPr>
            <w:r>
              <w:rPr>
                <w:rFonts w:ascii="Lato Light" w:hAnsi="Lato Light"/>
                <w:b/>
                <w:color w:val="000000"/>
                <w:sz w:val="20"/>
              </w:rPr>
              <w:t>Teacher</w:t>
            </w:r>
          </w:p>
          <w:p>
            <w:pPr>
              <w:spacing w:after="120" w:line="247" w:lineRule="auto"/>
            </w:pPr>
            <w:r>
              <w:rPr>
                <w:rFonts w:ascii="Lato Light" w:hAnsi="Lato Light"/>
                <w:b w:val="0"/>
                <w:color w:val="000000"/>
                <w:sz w:val="20"/>
              </w:rPr>
              <w:t>Sauda Upper Secondary School. Form teacher and teacher of vocational mechanics, including VK1, with additional teaching in economics and information processing.</w:t>
            </w:r>
          </w:p>
        </w:tc>
      </w:tr>
      <w:tr>
        <w:trPr>
          <w:cantSplit/>
        </w:trPr>
        <w:tc>
          <w:tcPr>
            <w:tcW w:type="dxa" w:w="2591"/>
            <w:vAlign w:val="top"/>
          </w:tcPr>
          <w:p>
            <w:pPr>
              <w:spacing w:after="60" w:line="247" w:lineRule="auto"/>
            </w:pPr>
            <w:r>
              <w:rPr>
                <w:rFonts w:ascii="Lato Light" w:hAnsi="Lato Light"/>
                <w:b/>
                <w:color w:val="000000"/>
                <w:sz w:val="20"/>
              </w:rPr>
              <w:t>Kværner Rosenberg Verft</w:t>
            </w:r>
          </w:p>
          <w:p>
            <w:pPr>
              <w:spacing w:after="120" w:line="247" w:lineRule="auto"/>
            </w:pPr>
            <w:r>
              <w:rPr>
                <w:rFonts w:ascii="Lato Light" w:hAnsi="Lato Light"/>
                <w:b w:val="0"/>
                <w:color w:val="000000"/>
                <w:sz w:val="18"/>
              </w:rPr>
              <w:t>Aug 1998 – Jan 2000</w:t>
            </w:r>
          </w:p>
        </w:tc>
        <w:tc>
          <w:tcPr>
            <w:tcW w:type="dxa" w:w="6661"/>
            <w:vAlign w:val="top"/>
          </w:tcPr>
          <w:p>
            <w:pPr>
              <w:spacing w:after="60" w:line="247" w:lineRule="auto"/>
            </w:pPr>
            <w:r>
              <w:rPr>
                <w:rFonts w:ascii="Lato Light" w:hAnsi="Lato Light"/>
                <w:b/>
                <w:color w:val="000000"/>
                <w:sz w:val="20"/>
              </w:rPr>
              <w:t>Project Planner</w:t>
            </w:r>
          </w:p>
          <w:p>
            <w:pPr>
              <w:spacing w:after="120" w:line="247" w:lineRule="auto"/>
            </w:pPr>
            <w:r>
              <w:rPr>
                <w:rFonts w:ascii="Lato Light" w:hAnsi="Lato Light"/>
                <w:b w:val="0"/>
                <w:color w:val="000000"/>
                <w:sz w:val="20"/>
              </w:rPr>
              <w:t>Åsgård B West project for Statoil. Prepared and monitored schedules for resources, work-hours and progress across multidisciplinary work, main steel, steel fittings, coatings and fire protection.</w:t>
            </w:r>
          </w:p>
        </w:tc>
      </w:tr>
      <w:tr>
        <w:trPr>
          <w:cantSplit/>
        </w:trPr>
        <w:tc>
          <w:tcPr>
            <w:tcW w:type="dxa" w:w="2591"/>
            <w:vAlign w:val="top"/>
          </w:tcPr>
          <w:p>
            <w:pPr>
              <w:spacing w:after="60" w:line="247" w:lineRule="auto"/>
            </w:pPr>
            <w:r>
              <w:rPr>
                <w:rFonts w:ascii="Lato Light" w:hAnsi="Lato Light"/>
                <w:b/>
                <w:color w:val="000000"/>
                <w:sz w:val="20"/>
              </w:rPr>
              <w:t>Kværner Eureka, Tranby</w:t>
            </w:r>
          </w:p>
          <w:p>
            <w:pPr>
              <w:spacing w:after="120" w:line="247" w:lineRule="auto"/>
            </w:pPr>
            <w:r>
              <w:rPr>
                <w:rFonts w:ascii="Lato Light" w:hAnsi="Lato Light"/>
                <w:b w:val="0"/>
                <w:color w:val="000000"/>
                <w:sz w:val="18"/>
              </w:rPr>
              <w:t>Dec 1996 – Aug 1998</w:t>
            </w:r>
          </w:p>
        </w:tc>
        <w:tc>
          <w:tcPr>
            <w:tcW w:type="dxa" w:w="6661"/>
            <w:vAlign w:val="top"/>
          </w:tcPr>
          <w:p>
            <w:pPr>
              <w:spacing w:after="60" w:line="247" w:lineRule="auto"/>
            </w:pPr>
            <w:r>
              <w:rPr>
                <w:rFonts w:ascii="Lato Light" w:hAnsi="Lato Light"/>
                <w:b/>
                <w:color w:val="000000"/>
                <w:sz w:val="20"/>
              </w:rPr>
              <w:t>Procurement and Project Planner</w:t>
            </w:r>
          </w:p>
          <w:p>
            <w:pPr>
              <w:spacing w:after="120" w:line="247" w:lineRule="auto"/>
            </w:pPr>
            <w:r>
              <w:rPr>
                <w:rFonts w:ascii="Lato Light" w:hAnsi="Lato Light"/>
                <w:b w:val="0"/>
                <w:color w:val="000000"/>
                <w:sz w:val="20"/>
              </w:rPr>
              <w:t>CV9030-E infantry fighting vehicle turret project for Hägglunds Vehicle. Planned procurement and inventory requirements in line with project schedules.</w:t>
            </w:r>
          </w:p>
        </w:tc>
      </w:tr>
      <w:tr>
        <w:trPr>
          <w:cantSplit/>
        </w:trPr>
        <w:tc>
          <w:tcPr>
            <w:tcW w:type="dxa" w:w="2591"/>
            <w:vAlign w:val="top"/>
          </w:tcPr>
          <w:p>
            <w:pPr>
              <w:spacing w:after="60" w:line="247" w:lineRule="auto"/>
            </w:pPr>
            <w:r>
              <w:rPr>
                <w:rFonts w:ascii="Lato Light" w:hAnsi="Lato Light"/>
                <w:b/>
                <w:color w:val="000000"/>
                <w:sz w:val="20"/>
              </w:rPr>
              <w:t>Kværner Rosenberg Verft</w:t>
            </w:r>
          </w:p>
          <w:p>
            <w:pPr>
              <w:spacing w:after="120" w:line="247" w:lineRule="auto"/>
            </w:pPr>
            <w:r>
              <w:rPr>
                <w:rFonts w:ascii="Lato Light" w:hAnsi="Lato Light"/>
                <w:b w:val="0"/>
                <w:color w:val="000000"/>
                <w:sz w:val="18"/>
              </w:rPr>
              <w:t>Nov 1992 – Nov 1996</w:t>
            </w:r>
          </w:p>
        </w:tc>
        <w:tc>
          <w:tcPr>
            <w:tcW w:type="dxa" w:w="6661"/>
            <w:vAlign w:val="top"/>
          </w:tcPr>
          <w:p>
            <w:pPr>
              <w:spacing w:after="60" w:line="247" w:lineRule="auto"/>
            </w:pPr>
            <w:r>
              <w:rPr>
                <w:rFonts w:ascii="Lato Light" w:hAnsi="Lato Light"/>
                <w:b/>
                <w:color w:val="000000"/>
                <w:sz w:val="20"/>
              </w:rPr>
              <w:t>Planner</w:t>
            </w:r>
          </w:p>
          <w:p>
            <w:pPr>
              <w:spacing w:after="120" w:line="247" w:lineRule="auto"/>
            </w:pPr>
            <w:r>
              <w:rPr>
                <w:rFonts w:ascii="Lato Light" w:hAnsi="Lato Light"/>
                <w:b w:val="0"/>
                <w:color w:val="000000"/>
                <w:sz w:val="20"/>
              </w:rPr>
              <w:t>Planned prefabrication and assembly hall activities, including space allocation, resources, work-hours and progress. Projects included Flare Boom 16/11-E, Troll Oil MSF, MO, Subsea, Visund Hull, Norne Turret &amp; Sepp, Bingo and Sea Launch.</w:t>
            </w:r>
          </w:p>
        </w:tc>
      </w:tr>
      <w:tr>
        <w:trPr>
          <w:cantSplit/>
        </w:trPr>
        <w:tc>
          <w:tcPr>
            <w:tcW w:type="dxa" w:w="2591"/>
            <w:vAlign w:val="top"/>
          </w:tcPr>
          <w:p>
            <w:pPr>
              <w:spacing w:after="60" w:line="247" w:lineRule="auto"/>
            </w:pPr>
            <w:r>
              <w:rPr>
                <w:rFonts w:ascii="Lato Light" w:hAnsi="Lato Light"/>
                <w:b/>
                <w:color w:val="000000"/>
                <w:sz w:val="20"/>
              </w:rPr>
              <w:t>Kværner Rosenberg Verft</w:t>
            </w:r>
          </w:p>
          <w:p>
            <w:pPr>
              <w:spacing w:after="120" w:line="247" w:lineRule="auto"/>
            </w:pPr>
            <w:r>
              <w:rPr>
                <w:rFonts w:ascii="Lato Light" w:hAnsi="Lato Light"/>
                <w:b w:val="0"/>
                <w:color w:val="000000"/>
                <w:sz w:val="18"/>
              </w:rPr>
              <w:t>Oct 1990 – Nov 1992</w:t>
            </w:r>
          </w:p>
        </w:tc>
        <w:tc>
          <w:tcPr>
            <w:tcW w:type="dxa" w:w="6661"/>
            <w:vAlign w:val="top"/>
          </w:tcPr>
          <w:p>
            <w:pPr>
              <w:spacing w:after="60" w:line="247" w:lineRule="auto"/>
            </w:pPr>
            <w:r>
              <w:rPr>
                <w:rFonts w:ascii="Lato Light" w:hAnsi="Lato Light"/>
                <w:b/>
                <w:color w:val="000000"/>
                <w:sz w:val="20"/>
              </w:rPr>
              <w:t>Work Preparation and Planning</w:t>
            </w:r>
          </w:p>
          <w:p>
            <w:pPr>
              <w:spacing w:after="120" w:line="247" w:lineRule="auto"/>
            </w:pPr>
            <w:r>
              <w:rPr>
                <w:rFonts w:ascii="Lato Light" w:hAnsi="Lato Light"/>
                <w:b w:val="0"/>
                <w:color w:val="000000"/>
                <w:sz w:val="20"/>
              </w:rPr>
              <w:t>Work preparation and planning within the yard.</w:t>
            </w:r>
          </w:p>
        </w:tc>
      </w:tr>
      <w:tr>
        <w:trPr>
          <w:cantSplit/>
        </w:trPr>
        <w:tc>
          <w:tcPr>
            <w:tcW w:type="dxa" w:w="2591"/>
            <w:vAlign w:val="top"/>
          </w:tcPr>
          <w:p>
            <w:pPr>
              <w:spacing w:after="60" w:line="247" w:lineRule="auto"/>
            </w:pPr>
            <w:r>
              <w:rPr>
                <w:rFonts w:ascii="Lato Light" w:hAnsi="Lato Light"/>
                <w:b/>
                <w:color w:val="000000"/>
                <w:sz w:val="20"/>
              </w:rPr>
              <w:t>Kværner Rosenberg Verft</w:t>
            </w:r>
          </w:p>
          <w:p>
            <w:pPr>
              <w:spacing w:after="120" w:line="247" w:lineRule="auto"/>
            </w:pPr>
            <w:r>
              <w:rPr>
                <w:rFonts w:ascii="Lato Light" w:hAnsi="Lato Light"/>
                <w:b w:val="0"/>
                <w:color w:val="000000"/>
                <w:sz w:val="18"/>
              </w:rPr>
              <w:t>Jul 1985 – Oct 1990</w:t>
            </w:r>
          </w:p>
        </w:tc>
        <w:tc>
          <w:tcPr>
            <w:tcW w:type="dxa" w:w="6661"/>
            <w:vAlign w:val="top"/>
          </w:tcPr>
          <w:p>
            <w:pPr>
              <w:spacing w:after="60" w:line="247" w:lineRule="auto"/>
            </w:pPr>
            <w:r>
              <w:rPr>
                <w:rFonts w:ascii="Lato Light" w:hAnsi="Lato Light"/>
                <w:b/>
                <w:color w:val="000000"/>
                <w:sz w:val="20"/>
              </w:rPr>
              <w:t>Plateworker and Plate Fitter</w:t>
            </w:r>
          </w:p>
          <w:p>
            <w:pPr>
              <w:spacing w:after="120" w:line="247" w:lineRule="auto"/>
            </w:pPr>
            <w:r>
              <w:rPr>
                <w:rFonts w:ascii="Lato Light" w:hAnsi="Lato Light"/>
                <w:b w:val="0"/>
                <w:color w:val="000000"/>
                <w:sz w:val="20"/>
              </w:rPr>
              <w:t>Hands-on fabrication and fitting work, providing the practical foundation for subsequent planning and management roles.</w:t>
            </w:r>
          </w:p>
        </w:tc>
      </w:tr>
    </w:tbl>
    <w:sectPr w:rsidR="006066B2" w:rsidRPr="00C87E4A">
      <w:headerReference w:type="even" r:id="rId11"/>
      <w:headerReference w:type="default" r:id="rId12"/>
      <w:footerReference w:type="even" r:id="rId13"/>
      <w:footerReference w:type="default" r:id="rId14"/>
      <w:headerReference w:type="first" r:id="rId15"/>
      <w:footerReference w:type="first" r:id="rId16"/>
      <w:pgSz w:w="11906" w:h="16838"/>
      <w:pgMar w:top="1922" w:right="748" w:bottom="1418" w:left="1797" w:header="397" w:footer="39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8009E" w14:textId="77777777" w:rsidR="000D12CE" w:rsidRDefault="000D12CE">
      <w:r>
        <w:separator/>
      </w:r>
    </w:p>
  </w:endnote>
  <w:endnote w:type="continuationSeparator" w:id="0">
    <w:p w14:paraId="4AA5960B" w14:textId="77777777" w:rsidR="000D12CE" w:rsidRDefault="000D12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ato Light">
    <w:altName w:val="Segoe UI"/>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jc w:val="right"/>
    </w:pPr>
    <w:r>
      <w:rPr>
        <w:rFonts w:ascii="Lato Light" w:hAnsi="Lato Light"/>
        <w:sz w:val="18"/>
      </w:rPr>
    </w:r>
    <w:fldSimple w:instr="PAG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CB8A27" w14:textId="77777777" w:rsidR="000D12CE" w:rsidRDefault="000D12CE">
      <w:r>
        <w:separator/>
      </w:r>
    </w:p>
  </w:footnote>
  <w:footnote w:type="continuationSeparator" w:id="0">
    <w:p w14:paraId="323D5630" w14:textId="77777777" w:rsidR="000D12CE" w:rsidRDefault="000D12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
      <w:rPr>
        <w:rFonts w:ascii="Lato Light" w:hAnsi="Lato Light"/>
        <w:color w:val="000000"/>
        <w:sz w:val="20"/>
      </w:rPr>
      <w:t>Eivind Haugland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spacing w:before="0" w:after="0"/>
      <w:jc w:val="right"/>
    </w:pPr>
    <w:r>
      <w:drawing>
        <wp:inline xmlns:a="http://schemas.openxmlformats.org/drawingml/2006/main" xmlns:pic="http://schemas.openxmlformats.org/drawingml/2006/picture">
          <wp:extent cx="1188000" cy="887187"/>
          <wp:docPr id="1" name="Picture 1" descr="Sapi Consulting logo"/>
          <wp:cNvGraphicFramePr>
            <a:graphicFrameLocks noChangeAspect="1"/>
          </wp:cNvGraphicFramePr>
          <a:graphic>
            <a:graphicData uri="http://schemas.openxmlformats.org/drawingml/2006/picture">
              <pic:pic>
                <pic:nvPicPr>
                  <pic:cNvPr id="0" name="SapiConsulting-01.png"/>
                  <pic:cNvPicPr/>
                </pic:nvPicPr>
                <pic:blipFill>
                  <a:blip r:embed="rId2"/>
                  <a:srcRect l="29053" t="26879" r="29102" b="26879"/>
                  <a:stretch>
                    <a:fillRect/>
                  </a:stretch>
                </pic:blipFill>
                <pic:spPr>
                  <a:xfrm>
                    <a:off x="0" y="0"/>
                    <a:ext cx="1188000" cy="887187"/>
                  </a:xfrm>
                  <a:prstGeom prst="rec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243C1"/>
    <w:multiLevelType w:val="hybridMultilevel"/>
    <w:tmpl w:val="1F8EE488"/>
    <w:lvl w:ilvl="0" w:tplc="FFFFFFFF">
      <w:start w:val="1"/>
      <w:numFmt w:val="bullet"/>
      <w:lvlText w:val=""/>
      <w:lvlJc w:val="left"/>
      <w:pPr>
        <w:tabs>
          <w:tab w:val="num" w:pos="1800"/>
        </w:tabs>
        <w:ind w:left="180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0B7337"/>
    <w:multiLevelType w:val="hybridMultilevel"/>
    <w:tmpl w:val="98F6B31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076B4535"/>
    <w:multiLevelType w:val="hybridMultilevel"/>
    <w:tmpl w:val="83C238E0"/>
    <w:lvl w:ilvl="0" w:tplc="FFFFFFFF">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 w15:restartNumberingAfterBreak="0">
    <w:nsid w:val="0B9A35F4"/>
    <w:multiLevelType w:val="hybridMultilevel"/>
    <w:tmpl w:val="42228436"/>
    <w:lvl w:ilvl="0" w:tplc="FFFFFFFF">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 w15:restartNumberingAfterBreak="0">
    <w:nsid w:val="283A6FFF"/>
    <w:multiLevelType w:val="hybridMultilevel"/>
    <w:tmpl w:val="9C5CF1F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3DAE7B9F"/>
    <w:multiLevelType w:val="hybridMultilevel"/>
    <w:tmpl w:val="A922F38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41174F78"/>
    <w:multiLevelType w:val="hybridMultilevel"/>
    <w:tmpl w:val="F432A9E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5493477D"/>
    <w:multiLevelType w:val="hybridMultilevel"/>
    <w:tmpl w:val="1FDA6CEA"/>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59D20738"/>
    <w:multiLevelType w:val="hybridMultilevel"/>
    <w:tmpl w:val="C7FECD9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5DA71306"/>
    <w:multiLevelType w:val="hybridMultilevel"/>
    <w:tmpl w:val="16424F8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5E6A5AA3"/>
    <w:multiLevelType w:val="hybridMultilevel"/>
    <w:tmpl w:val="D8967B4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5F3F37EE"/>
    <w:multiLevelType w:val="hybridMultilevel"/>
    <w:tmpl w:val="E6FE4E9E"/>
    <w:lvl w:ilvl="0" w:tplc="FFFFFFFF">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F614925"/>
    <w:multiLevelType w:val="hybridMultilevel"/>
    <w:tmpl w:val="D042EF9C"/>
    <w:lvl w:ilvl="0" w:tplc="FFFFFFFF">
      <w:start w:val="1"/>
      <w:numFmt w:val="bullet"/>
      <w:lvlText w:val=""/>
      <w:lvlJc w:val="left"/>
      <w:pPr>
        <w:tabs>
          <w:tab w:val="num" w:pos="360"/>
        </w:tabs>
        <w:ind w:left="360" w:hanging="360"/>
      </w:pPr>
      <w:rPr>
        <w:rFonts w:ascii="Symbol" w:hAnsi="Symbol" w:hint="default"/>
      </w:rPr>
    </w:lvl>
    <w:lvl w:ilvl="1" w:tplc="FFFFFFFF">
      <w:start w:val="1"/>
      <w:numFmt w:val="bullet"/>
      <w:lvlText w:val=""/>
      <w:lvlJc w:val="left"/>
      <w:pPr>
        <w:tabs>
          <w:tab w:val="num" w:pos="1080"/>
        </w:tabs>
        <w:ind w:left="1080" w:hanging="360"/>
      </w:pPr>
      <w:rPr>
        <w:rFonts w:ascii="Symbol" w:hAnsi="Symbol"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60C52F6B"/>
    <w:multiLevelType w:val="hybridMultilevel"/>
    <w:tmpl w:val="026E6E6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733160E0"/>
    <w:multiLevelType w:val="hybridMultilevel"/>
    <w:tmpl w:val="9F74BC6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7378100C"/>
    <w:multiLevelType w:val="hybridMultilevel"/>
    <w:tmpl w:val="A8A2DBD6"/>
    <w:lvl w:ilvl="0" w:tplc="E506C85A">
      <w:numFmt w:val="bullet"/>
      <w:lvlText w:val="-"/>
      <w:lvlJc w:val="left"/>
      <w:pPr>
        <w:ind w:left="720" w:hanging="360"/>
      </w:pPr>
      <w:rPr>
        <w:rFonts w:ascii="Arial" w:eastAsia="Times New Roman"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74512893"/>
    <w:multiLevelType w:val="hybridMultilevel"/>
    <w:tmpl w:val="99F03172"/>
    <w:lvl w:ilvl="0" w:tplc="FFFFFFFF">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0"/>
        </w:tabs>
        <w:ind w:left="0" w:hanging="360"/>
      </w:pPr>
      <w:rPr>
        <w:rFonts w:ascii="Courier New" w:hAnsi="Courier New" w:cs="Courier New" w:hint="default"/>
      </w:rPr>
    </w:lvl>
    <w:lvl w:ilvl="2" w:tplc="04090005">
      <w:start w:val="1"/>
      <w:numFmt w:val="bullet"/>
      <w:lvlText w:val=""/>
      <w:lvlJc w:val="left"/>
      <w:pPr>
        <w:tabs>
          <w:tab w:val="num" w:pos="720"/>
        </w:tabs>
        <w:ind w:left="720" w:hanging="360"/>
      </w:pPr>
      <w:rPr>
        <w:rFonts w:ascii="Wingdings" w:hAnsi="Wingdings" w:hint="default"/>
      </w:rPr>
    </w:lvl>
    <w:lvl w:ilvl="3" w:tplc="04090001" w:tentative="1">
      <w:start w:val="1"/>
      <w:numFmt w:val="bullet"/>
      <w:lvlText w:val=""/>
      <w:lvlJc w:val="left"/>
      <w:pPr>
        <w:tabs>
          <w:tab w:val="num" w:pos="1440"/>
        </w:tabs>
        <w:ind w:left="1440" w:hanging="360"/>
      </w:pPr>
      <w:rPr>
        <w:rFonts w:ascii="Symbol" w:hAnsi="Symbol" w:hint="default"/>
      </w:rPr>
    </w:lvl>
    <w:lvl w:ilvl="4" w:tplc="04090003" w:tentative="1">
      <w:start w:val="1"/>
      <w:numFmt w:val="bullet"/>
      <w:lvlText w:val="o"/>
      <w:lvlJc w:val="left"/>
      <w:pPr>
        <w:tabs>
          <w:tab w:val="num" w:pos="2160"/>
        </w:tabs>
        <w:ind w:left="2160" w:hanging="360"/>
      </w:pPr>
      <w:rPr>
        <w:rFonts w:ascii="Courier New" w:hAnsi="Courier New" w:cs="Courier New"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cs="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abstractNum w:abstractNumId="17" w15:restartNumberingAfterBreak="0">
    <w:nsid w:val="78FF28B0"/>
    <w:multiLevelType w:val="hybridMultilevel"/>
    <w:tmpl w:val="480C52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954625729">
    <w:abstractNumId w:val="4"/>
  </w:num>
  <w:num w:numId="2" w16cid:durableId="1028918473">
    <w:abstractNumId w:val="6"/>
  </w:num>
  <w:num w:numId="3" w16cid:durableId="329454575">
    <w:abstractNumId w:val="5"/>
  </w:num>
  <w:num w:numId="4" w16cid:durableId="1385913340">
    <w:abstractNumId w:val="13"/>
  </w:num>
  <w:num w:numId="5" w16cid:durableId="1235974739">
    <w:abstractNumId w:val="8"/>
  </w:num>
  <w:num w:numId="6" w16cid:durableId="1112093159">
    <w:abstractNumId w:val="10"/>
  </w:num>
  <w:num w:numId="7" w16cid:durableId="807750389">
    <w:abstractNumId w:val="1"/>
  </w:num>
  <w:num w:numId="8" w16cid:durableId="209264338">
    <w:abstractNumId w:val="9"/>
  </w:num>
  <w:num w:numId="9" w16cid:durableId="120417639">
    <w:abstractNumId w:val="14"/>
  </w:num>
  <w:num w:numId="10" w16cid:durableId="619804280">
    <w:abstractNumId w:val="17"/>
  </w:num>
  <w:num w:numId="11" w16cid:durableId="1182629093">
    <w:abstractNumId w:val="12"/>
  </w:num>
  <w:num w:numId="12" w16cid:durableId="836382732">
    <w:abstractNumId w:val="16"/>
  </w:num>
  <w:num w:numId="13" w16cid:durableId="1955358786">
    <w:abstractNumId w:val="3"/>
  </w:num>
  <w:num w:numId="14" w16cid:durableId="1791782543">
    <w:abstractNumId w:val="7"/>
  </w:num>
  <w:num w:numId="15" w16cid:durableId="1474635025">
    <w:abstractNumId w:val="15"/>
  </w:num>
  <w:num w:numId="16" w16cid:durableId="1778793990">
    <w:abstractNumId w:val="2"/>
  </w:num>
  <w:num w:numId="17" w16cid:durableId="489638797">
    <w:abstractNumId w:val="11"/>
  </w:num>
  <w:num w:numId="18" w16cid:durableId="8797066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nb-NO" w:vendorID="64" w:dllVersion="6" w:nlCheck="1" w:checkStyle="0"/>
  <w:activeWritingStyle w:appName="MSWord" w:lang="en-US" w:vendorID="64" w:dllVersion="6" w:nlCheck="1" w:checkStyle="1"/>
  <w:activeWritingStyle w:appName="MSWord" w:lang="sv-SE" w:vendorID="64" w:dllVersion="0" w:nlCheck="1" w:checkStyle="0"/>
  <w:activeWritingStyle w:appName="MSWord" w:lang="en-US" w:vendorID="64" w:dllVersion="0" w:nlCheck="1" w:checkStyle="0"/>
  <w:activeWritingStyle w:appName="MSWord" w:lang="en-GB" w:vendorID="64" w:dllVersion="0" w:nlCheck="1" w:checkStyle="0"/>
  <w:proofState w:spelling="clean" w:grammar="clean"/>
  <w:attachedTemplate r:id="rId1"/>
  <w:defaultTabStop w:val="1304"/>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A17"/>
    <w:rsid w:val="0000473C"/>
    <w:rsid w:val="000117D5"/>
    <w:rsid w:val="00011D79"/>
    <w:rsid w:val="00014140"/>
    <w:rsid w:val="00015B24"/>
    <w:rsid w:val="00024B05"/>
    <w:rsid w:val="000326DC"/>
    <w:rsid w:val="00034A70"/>
    <w:rsid w:val="00043E15"/>
    <w:rsid w:val="00044829"/>
    <w:rsid w:val="0004746A"/>
    <w:rsid w:val="0005414A"/>
    <w:rsid w:val="0005459B"/>
    <w:rsid w:val="000558C0"/>
    <w:rsid w:val="00065FE8"/>
    <w:rsid w:val="000718EF"/>
    <w:rsid w:val="00082670"/>
    <w:rsid w:val="00091CD9"/>
    <w:rsid w:val="00093DCB"/>
    <w:rsid w:val="000A13EA"/>
    <w:rsid w:val="000A4C8D"/>
    <w:rsid w:val="000A6743"/>
    <w:rsid w:val="000A6A17"/>
    <w:rsid w:val="000B00DE"/>
    <w:rsid w:val="000B029B"/>
    <w:rsid w:val="000B36F7"/>
    <w:rsid w:val="000B36FD"/>
    <w:rsid w:val="000B54DE"/>
    <w:rsid w:val="000C0494"/>
    <w:rsid w:val="000C0677"/>
    <w:rsid w:val="000C24FB"/>
    <w:rsid w:val="000D12CE"/>
    <w:rsid w:val="000D4FBC"/>
    <w:rsid w:val="000E5028"/>
    <w:rsid w:val="000E58AF"/>
    <w:rsid w:val="000F1394"/>
    <w:rsid w:val="0010428B"/>
    <w:rsid w:val="001066BC"/>
    <w:rsid w:val="001163DD"/>
    <w:rsid w:val="00117001"/>
    <w:rsid w:val="00125B5E"/>
    <w:rsid w:val="00125BB7"/>
    <w:rsid w:val="00127CD4"/>
    <w:rsid w:val="00136AA7"/>
    <w:rsid w:val="0015020A"/>
    <w:rsid w:val="00153100"/>
    <w:rsid w:val="00170AB0"/>
    <w:rsid w:val="0017117D"/>
    <w:rsid w:val="00181C50"/>
    <w:rsid w:val="0018280E"/>
    <w:rsid w:val="00193516"/>
    <w:rsid w:val="00195343"/>
    <w:rsid w:val="001A5F9A"/>
    <w:rsid w:val="001A65D7"/>
    <w:rsid w:val="001A73F9"/>
    <w:rsid w:val="001B078D"/>
    <w:rsid w:val="001B37C8"/>
    <w:rsid w:val="001C09B6"/>
    <w:rsid w:val="001C537F"/>
    <w:rsid w:val="001E3437"/>
    <w:rsid w:val="001E4935"/>
    <w:rsid w:val="001F1AB3"/>
    <w:rsid w:val="001F3A32"/>
    <w:rsid w:val="001F7540"/>
    <w:rsid w:val="002021F5"/>
    <w:rsid w:val="002070FB"/>
    <w:rsid w:val="00214A17"/>
    <w:rsid w:val="00215379"/>
    <w:rsid w:val="00230D74"/>
    <w:rsid w:val="002328A6"/>
    <w:rsid w:val="00244545"/>
    <w:rsid w:val="00247FAD"/>
    <w:rsid w:val="002510D2"/>
    <w:rsid w:val="00252F22"/>
    <w:rsid w:val="00256146"/>
    <w:rsid w:val="0026228B"/>
    <w:rsid w:val="002646F7"/>
    <w:rsid w:val="00284367"/>
    <w:rsid w:val="002A2DBF"/>
    <w:rsid w:val="002B45D1"/>
    <w:rsid w:val="002C1F27"/>
    <w:rsid w:val="002C5314"/>
    <w:rsid w:val="002C56B1"/>
    <w:rsid w:val="002C61D2"/>
    <w:rsid w:val="002E130C"/>
    <w:rsid w:val="002E2C34"/>
    <w:rsid w:val="002F1753"/>
    <w:rsid w:val="002F24E8"/>
    <w:rsid w:val="002F3AF9"/>
    <w:rsid w:val="002F5557"/>
    <w:rsid w:val="00300667"/>
    <w:rsid w:val="00304EBF"/>
    <w:rsid w:val="003055C7"/>
    <w:rsid w:val="00306B18"/>
    <w:rsid w:val="00315E9C"/>
    <w:rsid w:val="003265E0"/>
    <w:rsid w:val="00334360"/>
    <w:rsid w:val="00336FFC"/>
    <w:rsid w:val="00344538"/>
    <w:rsid w:val="00345DEC"/>
    <w:rsid w:val="0035494F"/>
    <w:rsid w:val="003615FB"/>
    <w:rsid w:val="00367FE4"/>
    <w:rsid w:val="003715B3"/>
    <w:rsid w:val="00381376"/>
    <w:rsid w:val="00381D0D"/>
    <w:rsid w:val="00383047"/>
    <w:rsid w:val="003966C1"/>
    <w:rsid w:val="003A40B2"/>
    <w:rsid w:val="003A4770"/>
    <w:rsid w:val="003A5499"/>
    <w:rsid w:val="003B0117"/>
    <w:rsid w:val="003B496A"/>
    <w:rsid w:val="003C352F"/>
    <w:rsid w:val="003C77BE"/>
    <w:rsid w:val="003D090C"/>
    <w:rsid w:val="003D3E78"/>
    <w:rsid w:val="003D44D2"/>
    <w:rsid w:val="003E005C"/>
    <w:rsid w:val="003E382C"/>
    <w:rsid w:val="003E3B61"/>
    <w:rsid w:val="003E5B18"/>
    <w:rsid w:val="003E7E73"/>
    <w:rsid w:val="003F10DA"/>
    <w:rsid w:val="003F575D"/>
    <w:rsid w:val="003F7F97"/>
    <w:rsid w:val="00400943"/>
    <w:rsid w:val="00405D19"/>
    <w:rsid w:val="00407955"/>
    <w:rsid w:val="00407E26"/>
    <w:rsid w:val="00414346"/>
    <w:rsid w:val="00417970"/>
    <w:rsid w:val="0043073C"/>
    <w:rsid w:val="004410C2"/>
    <w:rsid w:val="00446D8D"/>
    <w:rsid w:val="00450A09"/>
    <w:rsid w:val="00453209"/>
    <w:rsid w:val="00464772"/>
    <w:rsid w:val="00472E2B"/>
    <w:rsid w:val="004730C4"/>
    <w:rsid w:val="00473256"/>
    <w:rsid w:val="0047404C"/>
    <w:rsid w:val="00480EF7"/>
    <w:rsid w:val="00481741"/>
    <w:rsid w:val="00481B7B"/>
    <w:rsid w:val="0048660E"/>
    <w:rsid w:val="004958D2"/>
    <w:rsid w:val="004A6BC1"/>
    <w:rsid w:val="004B2478"/>
    <w:rsid w:val="004B699A"/>
    <w:rsid w:val="004C17EA"/>
    <w:rsid w:val="004C2B3D"/>
    <w:rsid w:val="004C76C4"/>
    <w:rsid w:val="004D1D6B"/>
    <w:rsid w:val="004E23DE"/>
    <w:rsid w:val="004E31BD"/>
    <w:rsid w:val="004E66BF"/>
    <w:rsid w:val="004F743C"/>
    <w:rsid w:val="00502939"/>
    <w:rsid w:val="00503286"/>
    <w:rsid w:val="00505E40"/>
    <w:rsid w:val="00506379"/>
    <w:rsid w:val="00507469"/>
    <w:rsid w:val="0051090A"/>
    <w:rsid w:val="00512B94"/>
    <w:rsid w:val="00515EF2"/>
    <w:rsid w:val="00516875"/>
    <w:rsid w:val="00527841"/>
    <w:rsid w:val="0053055A"/>
    <w:rsid w:val="00532552"/>
    <w:rsid w:val="005333AE"/>
    <w:rsid w:val="00546740"/>
    <w:rsid w:val="00547B2E"/>
    <w:rsid w:val="0055189A"/>
    <w:rsid w:val="005675E5"/>
    <w:rsid w:val="0057229E"/>
    <w:rsid w:val="005756C2"/>
    <w:rsid w:val="005765EC"/>
    <w:rsid w:val="00582D06"/>
    <w:rsid w:val="005908C8"/>
    <w:rsid w:val="00591133"/>
    <w:rsid w:val="00596CB9"/>
    <w:rsid w:val="005A489C"/>
    <w:rsid w:val="005B0234"/>
    <w:rsid w:val="005B147E"/>
    <w:rsid w:val="005B5382"/>
    <w:rsid w:val="005C11AE"/>
    <w:rsid w:val="005C3544"/>
    <w:rsid w:val="005C68DB"/>
    <w:rsid w:val="005D25ED"/>
    <w:rsid w:val="005D63A5"/>
    <w:rsid w:val="005E03F4"/>
    <w:rsid w:val="005E1680"/>
    <w:rsid w:val="005E46A8"/>
    <w:rsid w:val="00603432"/>
    <w:rsid w:val="006066B2"/>
    <w:rsid w:val="00616F1E"/>
    <w:rsid w:val="00620F6D"/>
    <w:rsid w:val="00622181"/>
    <w:rsid w:val="006330B3"/>
    <w:rsid w:val="00643DA4"/>
    <w:rsid w:val="006531A9"/>
    <w:rsid w:val="00664EEB"/>
    <w:rsid w:val="00665CB0"/>
    <w:rsid w:val="00667846"/>
    <w:rsid w:val="00682300"/>
    <w:rsid w:val="00682904"/>
    <w:rsid w:val="00683ABA"/>
    <w:rsid w:val="006A1DCB"/>
    <w:rsid w:val="006A6379"/>
    <w:rsid w:val="006A772B"/>
    <w:rsid w:val="006B2771"/>
    <w:rsid w:val="006B2B0B"/>
    <w:rsid w:val="006B43CC"/>
    <w:rsid w:val="006C1480"/>
    <w:rsid w:val="006C2289"/>
    <w:rsid w:val="006C2316"/>
    <w:rsid w:val="006D1519"/>
    <w:rsid w:val="006D3A86"/>
    <w:rsid w:val="006D3B67"/>
    <w:rsid w:val="006D637A"/>
    <w:rsid w:val="006E7444"/>
    <w:rsid w:val="006F77EB"/>
    <w:rsid w:val="007017C9"/>
    <w:rsid w:val="007314CB"/>
    <w:rsid w:val="00744768"/>
    <w:rsid w:val="00745BBA"/>
    <w:rsid w:val="0074785D"/>
    <w:rsid w:val="00753ECC"/>
    <w:rsid w:val="00761E37"/>
    <w:rsid w:val="0076286C"/>
    <w:rsid w:val="00764570"/>
    <w:rsid w:val="007646DE"/>
    <w:rsid w:val="00784BBE"/>
    <w:rsid w:val="00787B7B"/>
    <w:rsid w:val="0079077B"/>
    <w:rsid w:val="007971CD"/>
    <w:rsid w:val="007A22BB"/>
    <w:rsid w:val="007A29BF"/>
    <w:rsid w:val="007A5853"/>
    <w:rsid w:val="007B727B"/>
    <w:rsid w:val="007B7B70"/>
    <w:rsid w:val="007B7D17"/>
    <w:rsid w:val="007D0E9F"/>
    <w:rsid w:val="007D449A"/>
    <w:rsid w:val="007D5A61"/>
    <w:rsid w:val="007D6588"/>
    <w:rsid w:val="007D7921"/>
    <w:rsid w:val="007E4030"/>
    <w:rsid w:val="007E64F5"/>
    <w:rsid w:val="00800A0A"/>
    <w:rsid w:val="00816CA9"/>
    <w:rsid w:val="00817AE7"/>
    <w:rsid w:val="00824178"/>
    <w:rsid w:val="00824CE4"/>
    <w:rsid w:val="00824D4A"/>
    <w:rsid w:val="00832031"/>
    <w:rsid w:val="00834119"/>
    <w:rsid w:val="0083665A"/>
    <w:rsid w:val="008414C8"/>
    <w:rsid w:val="0084538C"/>
    <w:rsid w:val="008461A5"/>
    <w:rsid w:val="00850B6B"/>
    <w:rsid w:val="008528CE"/>
    <w:rsid w:val="00862994"/>
    <w:rsid w:val="008644BF"/>
    <w:rsid w:val="008650E5"/>
    <w:rsid w:val="00865FCC"/>
    <w:rsid w:val="00866C13"/>
    <w:rsid w:val="008675C8"/>
    <w:rsid w:val="00867BD5"/>
    <w:rsid w:val="008718AE"/>
    <w:rsid w:val="0089470C"/>
    <w:rsid w:val="00894839"/>
    <w:rsid w:val="008A1D00"/>
    <w:rsid w:val="008A2EBA"/>
    <w:rsid w:val="008A3215"/>
    <w:rsid w:val="008A5E20"/>
    <w:rsid w:val="008A7AA0"/>
    <w:rsid w:val="008B58BF"/>
    <w:rsid w:val="008B6650"/>
    <w:rsid w:val="008C2287"/>
    <w:rsid w:val="008C25B6"/>
    <w:rsid w:val="008C4E6B"/>
    <w:rsid w:val="008C5BA8"/>
    <w:rsid w:val="008D35F3"/>
    <w:rsid w:val="008D44B7"/>
    <w:rsid w:val="008D48DD"/>
    <w:rsid w:val="008D6E02"/>
    <w:rsid w:val="008E656A"/>
    <w:rsid w:val="008E7E1D"/>
    <w:rsid w:val="008F5FF1"/>
    <w:rsid w:val="0090259A"/>
    <w:rsid w:val="00902783"/>
    <w:rsid w:val="00902AF2"/>
    <w:rsid w:val="00907796"/>
    <w:rsid w:val="00907F8F"/>
    <w:rsid w:val="00910DEE"/>
    <w:rsid w:val="0092130F"/>
    <w:rsid w:val="00936008"/>
    <w:rsid w:val="00943E60"/>
    <w:rsid w:val="00945DCB"/>
    <w:rsid w:val="009476F1"/>
    <w:rsid w:val="0096727E"/>
    <w:rsid w:val="00971F9F"/>
    <w:rsid w:val="00973098"/>
    <w:rsid w:val="009814D6"/>
    <w:rsid w:val="00993C6D"/>
    <w:rsid w:val="0099757A"/>
    <w:rsid w:val="009A250D"/>
    <w:rsid w:val="009B309D"/>
    <w:rsid w:val="009B6B67"/>
    <w:rsid w:val="009D04BA"/>
    <w:rsid w:val="009E1EE4"/>
    <w:rsid w:val="009E2612"/>
    <w:rsid w:val="009E4C9C"/>
    <w:rsid w:val="009F79E0"/>
    <w:rsid w:val="00A01A84"/>
    <w:rsid w:val="00A0270D"/>
    <w:rsid w:val="00A172CC"/>
    <w:rsid w:val="00A3027B"/>
    <w:rsid w:val="00A31219"/>
    <w:rsid w:val="00A33D25"/>
    <w:rsid w:val="00A35CD0"/>
    <w:rsid w:val="00A37C80"/>
    <w:rsid w:val="00A4057A"/>
    <w:rsid w:val="00A56BF4"/>
    <w:rsid w:val="00A572CA"/>
    <w:rsid w:val="00A67BAC"/>
    <w:rsid w:val="00A74E38"/>
    <w:rsid w:val="00A75F94"/>
    <w:rsid w:val="00A81A8D"/>
    <w:rsid w:val="00A94BC6"/>
    <w:rsid w:val="00AA2AB6"/>
    <w:rsid w:val="00AA3F15"/>
    <w:rsid w:val="00AC0ABA"/>
    <w:rsid w:val="00AD2B03"/>
    <w:rsid w:val="00AD31F9"/>
    <w:rsid w:val="00AD47BA"/>
    <w:rsid w:val="00AD7B95"/>
    <w:rsid w:val="00AE0F0B"/>
    <w:rsid w:val="00AE2883"/>
    <w:rsid w:val="00AE5E85"/>
    <w:rsid w:val="00AE7BA6"/>
    <w:rsid w:val="00AF0B7D"/>
    <w:rsid w:val="00AF0F99"/>
    <w:rsid w:val="00AF6968"/>
    <w:rsid w:val="00B00D71"/>
    <w:rsid w:val="00B00F66"/>
    <w:rsid w:val="00B0126C"/>
    <w:rsid w:val="00B0594E"/>
    <w:rsid w:val="00B15431"/>
    <w:rsid w:val="00B15478"/>
    <w:rsid w:val="00B17353"/>
    <w:rsid w:val="00B3095B"/>
    <w:rsid w:val="00B341C1"/>
    <w:rsid w:val="00B466E9"/>
    <w:rsid w:val="00B50299"/>
    <w:rsid w:val="00B53BE8"/>
    <w:rsid w:val="00B56907"/>
    <w:rsid w:val="00B63D90"/>
    <w:rsid w:val="00B720D6"/>
    <w:rsid w:val="00B73811"/>
    <w:rsid w:val="00B76C5A"/>
    <w:rsid w:val="00B83994"/>
    <w:rsid w:val="00B95FDB"/>
    <w:rsid w:val="00BA0D2E"/>
    <w:rsid w:val="00BA1956"/>
    <w:rsid w:val="00BA4565"/>
    <w:rsid w:val="00BA5CF2"/>
    <w:rsid w:val="00BC408E"/>
    <w:rsid w:val="00BC50AB"/>
    <w:rsid w:val="00BC7446"/>
    <w:rsid w:val="00BD243E"/>
    <w:rsid w:val="00BD470A"/>
    <w:rsid w:val="00BE1852"/>
    <w:rsid w:val="00BE5C32"/>
    <w:rsid w:val="00BF0711"/>
    <w:rsid w:val="00BF35FD"/>
    <w:rsid w:val="00C15071"/>
    <w:rsid w:val="00C20075"/>
    <w:rsid w:val="00C21DF6"/>
    <w:rsid w:val="00C3214E"/>
    <w:rsid w:val="00C34B17"/>
    <w:rsid w:val="00C364DF"/>
    <w:rsid w:val="00C3744D"/>
    <w:rsid w:val="00C44FDC"/>
    <w:rsid w:val="00C4533A"/>
    <w:rsid w:val="00C46A75"/>
    <w:rsid w:val="00C5776E"/>
    <w:rsid w:val="00C61688"/>
    <w:rsid w:val="00C6412E"/>
    <w:rsid w:val="00C716C5"/>
    <w:rsid w:val="00C75626"/>
    <w:rsid w:val="00C851AE"/>
    <w:rsid w:val="00C872E6"/>
    <w:rsid w:val="00C87E4A"/>
    <w:rsid w:val="00C9109D"/>
    <w:rsid w:val="00C9352A"/>
    <w:rsid w:val="00C961A4"/>
    <w:rsid w:val="00C97375"/>
    <w:rsid w:val="00CA1303"/>
    <w:rsid w:val="00CC51FC"/>
    <w:rsid w:val="00CC7DDE"/>
    <w:rsid w:val="00CD0F0D"/>
    <w:rsid w:val="00CD2966"/>
    <w:rsid w:val="00CE0813"/>
    <w:rsid w:val="00CF43D0"/>
    <w:rsid w:val="00D070A5"/>
    <w:rsid w:val="00D11506"/>
    <w:rsid w:val="00D5030E"/>
    <w:rsid w:val="00D50E69"/>
    <w:rsid w:val="00D57A79"/>
    <w:rsid w:val="00D66881"/>
    <w:rsid w:val="00D80E93"/>
    <w:rsid w:val="00D8396D"/>
    <w:rsid w:val="00D94615"/>
    <w:rsid w:val="00DA1528"/>
    <w:rsid w:val="00DA251F"/>
    <w:rsid w:val="00DA4D28"/>
    <w:rsid w:val="00DA5597"/>
    <w:rsid w:val="00DB3680"/>
    <w:rsid w:val="00DC364F"/>
    <w:rsid w:val="00DD7257"/>
    <w:rsid w:val="00DE7AAC"/>
    <w:rsid w:val="00DF10F9"/>
    <w:rsid w:val="00DF47A1"/>
    <w:rsid w:val="00DF4F6D"/>
    <w:rsid w:val="00DF5D4B"/>
    <w:rsid w:val="00DF66B4"/>
    <w:rsid w:val="00DF79E6"/>
    <w:rsid w:val="00E0056D"/>
    <w:rsid w:val="00E05F87"/>
    <w:rsid w:val="00E10DE4"/>
    <w:rsid w:val="00E26A66"/>
    <w:rsid w:val="00E4465E"/>
    <w:rsid w:val="00E53F73"/>
    <w:rsid w:val="00E5611C"/>
    <w:rsid w:val="00E6090C"/>
    <w:rsid w:val="00E655E3"/>
    <w:rsid w:val="00E675C0"/>
    <w:rsid w:val="00E87458"/>
    <w:rsid w:val="00E950CF"/>
    <w:rsid w:val="00EA0131"/>
    <w:rsid w:val="00EB59AC"/>
    <w:rsid w:val="00EC067F"/>
    <w:rsid w:val="00EC6A02"/>
    <w:rsid w:val="00ED2A6E"/>
    <w:rsid w:val="00EF13E7"/>
    <w:rsid w:val="00EF1CEE"/>
    <w:rsid w:val="00F0037F"/>
    <w:rsid w:val="00F02025"/>
    <w:rsid w:val="00F03087"/>
    <w:rsid w:val="00F11B21"/>
    <w:rsid w:val="00F11DAD"/>
    <w:rsid w:val="00F201DF"/>
    <w:rsid w:val="00F2029B"/>
    <w:rsid w:val="00F242AF"/>
    <w:rsid w:val="00F25B68"/>
    <w:rsid w:val="00F302E4"/>
    <w:rsid w:val="00F30792"/>
    <w:rsid w:val="00F43825"/>
    <w:rsid w:val="00F45A53"/>
    <w:rsid w:val="00F4729A"/>
    <w:rsid w:val="00F502A3"/>
    <w:rsid w:val="00F609D2"/>
    <w:rsid w:val="00F66086"/>
    <w:rsid w:val="00F7164E"/>
    <w:rsid w:val="00F71B26"/>
    <w:rsid w:val="00F721DE"/>
    <w:rsid w:val="00F7465E"/>
    <w:rsid w:val="00F8150C"/>
    <w:rsid w:val="00F86CC4"/>
    <w:rsid w:val="00F920CE"/>
    <w:rsid w:val="00FC55F6"/>
    <w:rsid w:val="00FC6D2F"/>
    <w:rsid w:val="00FD13A2"/>
    <w:rsid w:val="00FD59C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3BC0CB"/>
  <w15:chartTrackingRefBased/>
  <w15:docId w15:val="{A87B95EC-3157-4FA0-9947-C6C512BB9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keepNext w:val="0"/>
      <w:spacing w:before="0" w:after="80" w:line="247" w:lineRule="auto"/>
    </w:pPr>
    <w:rPr>
      <w:rFonts w:ascii="Lato Light" w:hAnsi="Lato Light"/>
      <w:color w:val="000000"/>
      <w:sz w:val="20"/>
      <w:szCs w:val="24"/>
    </w:rPr>
  </w:style>
  <w:style w:type="paragraph" w:styleId="Heading1">
    <w:name w:val="heading 1"/>
    <w:basedOn w:val="Normal"/>
    <w:next w:val="Normal"/>
    <w:qFormat/>
    <w:pPr>
      <w:keepNext w:val="0"/>
      <w:tabs>
        <w:tab w:val="left" w:pos="851"/>
        <w:tab w:val="left" w:pos="2552"/>
      </w:tabs>
      <w:spacing w:before="0" w:after="80" w:line="247" w:lineRule="auto"/>
      <w:outlineLvl w:val="0"/>
    </w:pPr>
    <w:rPr>
      <w:rFonts w:ascii="Lato Light" w:hAnsi="Lato Light"/>
      <w:b/>
      <w:color w:val="000000"/>
      <w:kern w:val="28"/>
      <w:sz w:val="20"/>
      <w:szCs w:val="20"/>
    </w:rPr>
  </w:style>
  <w:style w:type="paragraph" w:styleId="Heading2">
    <w:name w:val="heading 2"/>
    <w:basedOn w:val="Normal"/>
    <w:next w:val="Normal"/>
    <w:qFormat/>
    <w:pPr>
      <w:keepNext w:val="0"/>
      <w:spacing w:before="0" w:after="80" w:line="247" w:lineRule="auto"/>
      <w:outlineLvl w:val="1"/>
    </w:pPr>
    <w:rPr>
      <w:rFonts w:ascii="Lato Light" w:hAnsi="Lato Light" w:cs="Arial"/>
      <w:b/>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rdtexthngande">
    <w:name w:val="Brödtext hängande"/>
    <w:basedOn w:val="Normal"/>
    <w:pPr>
      <w:tabs>
        <w:tab w:val="left" w:pos="2552"/>
        <w:tab w:val="left" w:pos="3119"/>
      </w:tabs>
      <w:ind w:left="2552" w:hanging="2552"/>
    </w:pPr>
    <w:rPr>
      <w:rFonts w:ascii="Helvetica" w:hAnsi="Helvetica"/>
      <w:sz w:val="22"/>
      <w:szCs w:val="20"/>
    </w:rPr>
  </w:style>
  <w:style w:type="paragraph" w:styleId="Header">
    <w:name w:val="header"/>
    <w:basedOn w:val="Normal"/>
    <w:link w:val="HeaderChar"/>
    <w:uiPriority w:val="99"/>
    <w:pPr>
      <w:tabs>
        <w:tab w:val="center" w:pos="4536"/>
        <w:tab w:val="right" w:pos="9072"/>
      </w:tabs>
    </w:pPr>
  </w:style>
  <w:style w:type="paragraph" w:styleId="Footer">
    <w:name w:val="footer"/>
    <w:basedOn w:val="Normal"/>
    <w:link w:val="FooterChar"/>
    <w:uiPriority w:val="99"/>
    <w:pPr>
      <w:tabs>
        <w:tab w:val="center" w:pos="4536"/>
        <w:tab w:val="right" w:pos="9072"/>
      </w:tabs>
    </w:pPr>
  </w:style>
  <w:style w:type="paragraph" w:styleId="EndnoteText">
    <w:name w:val="endnote text"/>
    <w:basedOn w:val="Normal"/>
    <w:semiHidden/>
    <w:rPr>
      <w:sz w:val="20"/>
      <w:szCs w:val="20"/>
    </w:rPr>
  </w:style>
  <w:style w:type="character" w:customStyle="1" w:styleId="SlutkommentarChar">
    <w:name w:val="Slutkommentar Char"/>
    <w:basedOn w:val="DefaultParagraphFont"/>
  </w:style>
  <w:style w:type="character" w:styleId="EndnoteReference">
    <w:name w:val="endnote reference"/>
    <w:semiHidden/>
    <w:rPr>
      <w:vertAlign w:val="superscript"/>
    </w:rPr>
  </w:style>
  <w:style w:type="paragraph" w:customStyle="1" w:styleId="Ballongtext1">
    <w:name w:val="Ballongtext1"/>
    <w:basedOn w:val="Normal"/>
    <w:rPr>
      <w:rFonts w:ascii="Tahoma" w:hAnsi="Tahoma" w:cs="Tahoma"/>
      <w:sz w:val="16"/>
      <w:szCs w:val="16"/>
    </w:rPr>
  </w:style>
  <w:style w:type="character" w:customStyle="1" w:styleId="BallongtextChar">
    <w:name w:val="Ballongtext Char"/>
    <w:rPr>
      <w:rFonts w:ascii="Tahoma" w:hAnsi="Tahoma" w:cs="Tahoma"/>
      <w:sz w:val="16"/>
      <w:szCs w:val="16"/>
    </w:rPr>
  </w:style>
  <w:style w:type="paragraph" w:styleId="BalloonText">
    <w:name w:val="Balloon Text"/>
    <w:basedOn w:val="Normal"/>
    <w:link w:val="BalloonTextChar"/>
    <w:uiPriority w:val="99"/>
    <w:semiHidden/>
    <w:unhideWhenUsed/>
    <w:rsid w:val="003A4770"/>
    <w:rPr>
      <w:rFonts w:ascii="Arial" w:hAnsi="Arial" w:cs="Arial"/>
      <w:sz w:val="18"/>
      <w:szCs w:val="18"/>
    </w:rPr>
  </w:style>
  <w:style w:type="character" w:customStyle="1" w:styleId="BalloonTextChar">
    <w:name w:val="Balloon Text Char"/>
    <w:link w:val="BalloonText"/>
    <w:uiPriority w:val="99"/>
    <w:semiHidden/>
    <w:rsid w:val="003A4770"/>
    <w:rPr>
      <w:rFonts w:ascii="Arial" w:hAnsi="Arial" w:cs="Arial"/>
      <w:sz w:val="18"/>
      <w:szCs w:val="18"/>
    </w:rPr>
  </w:style>
  <w:style w:type="character" w:customStyle="1" w:styleId="HeaderChar">
    <w:name w:val="Header Char"/>
    <w:link w:val="Header"/>
    <w:uiPriority w:val="99"/>
    <w:rsid w:val="00C21DF6"/>
    <w:rPr>
      <w:sz w:val="24"/>
      <w:szCs w:val="24"/>
    </w:rPr>
  </w:style>
  <w:style w:type="character" w:customStyle="1" w:styleId="FooterChar">
    <w:name w:val="Footer Char"/>
    <w:link w:val="Footer"/>
    <w:uiPriority w:val="99"/>
    <w:rsid w:val="00F45A53"/>
    <w:rPr>
      <w:sz w:val="24"/>
      <w:szCs w:val="24"/>
    </w:rPr>
  </w:style>
  <w:style w:type="character" w:styleId="Hyperlink">
    <w:name w:val="Hyperlink"/>
    <w:unhideWhenUsed/>
    <w:rsid w:val="00F45A53"/>
    <w:rPr>
      <w:color w:val="0563C1"/>
      <w:u w:val="single"/>
    </w:rPr>
  </w:style>
  <w:style w:type="paragraph" w:styleId="ListParagraph">
    <w:name w:val="List Paragraph"/>
    <w:basedOn w:val="Normal"/>
    <w:uiPriority w:val="34"/>
    <w:qFormat/>
    <w:rsid w:val="00125B5E"/>
    <w:pPr>
      <w:ind w:left="720"/>
      <w:contextualSpacing/>
    </w:pPr>
  </w:style>
  <w:style w:type="paragraph" w:customStyle="1" w:styleId="Title">
    <w:name w:val="Title"/>
    <w:pPr>
      <w:keepNext w:val="0"/>
      <w:spacing w:before="0" w:after="80" w:line="247" w:lineRule="auto"/>
    </w:pPr>
    <w:rPr>
      <w:rFonts w:ascii="Lato Light" w:hAnsi="Lato Light"/>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7824065">
      <w:bodyDiv w:val="1"/>
      <w:marLeft w:val="0"/>
      <w:marRight w:val="0"/>
      <w:marTop w:val="0"/>
      <w:marBottom w:val="0"/>
      <w:divBdr>
        <w:top w:val="none" w:sz="0" w:space="0" w:color="auto"/>
        <w:left w:val="none" w:sz="0" w:space="0" w:color="auto"/>
        <w:bottom w:val="none" w:sz="0" w:space="0" w:color="auto"/>
        <w:right w:val="none" w:sz="0" w:space="0" w:color="auto"/>
      </w:divBdr>
    </w:div>
    <w:div w:id="2115250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mailto:info@xerab.se" TargetMode="External"/><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terAxeborn\Desktop\CV_Peter%20Axeborn_Svensk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8584e957-6aa0-48bd-98cf-220d6d784add" xsi:nil="true"/>
    <lcf76f155ced4ddcb4097134ff3c332f xmlns="8584e957-6aa0-48bd-98cf-220d6d784add">
      <Terms xmlns="http://schemas.microsoft.com/office/infopath/2007/PartnerControls"/>
    </lcf76f155ced4ddcb4097134ff3c332f>
    <TaxCatchAll xmlns="d2ea441f-d10b-4391-bf38-cb99f7ed83c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EED158BA9BB8FD4A814E544F00CCDCD3" ma:contentTypeVersion="19" ma:contentTypeDescription="Skapa ett nytt dokument." ma:contentTypeScope="" ma:versionID="15684619a5a0ae7ce194e2e30b6ddacd">
  <xsd:schema xmlns:xsd="http://www.w3.org/2001/XMLSchema" xmlns:xs="http://www.w3.org/2001/XMLSchema" xmlns:p="http://schemas.microsoft.com/office/2006/metadata/properties" xmlns:ns2="d2ea441f-d10b-4391-bf38-cb99f7ed83ce" xmlns:ns3="8584e957-6aa0-48bd-98cf-220d6d784add" targetNamespace="http://schemas.microsoft.com/office/2006/metadata/properties" ma:root="true" ma:fieldsID="e3ef3376151130db2dde977fd7979f6d" ns2:_="" ns3:_="">
    <xsd:import namespace="d2ea441f-d10b-4391-bf38-cb99f7ed83ce"/>
    <xsd:import namespace="8584e957-6aa0-48bd-98cf-220d6d784ad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_Flow_SignoffStatu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ea441f-d10b-4391-bf38-cb99f7ed83ce"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at med information" ma:description="" ma:internalName="SharedWithDetails" ma:readOnly="true">
      <xsd:simpleType>
        <xsd:restriction base="dms:Note">
          <xsd:maxLength value="255"/>
        </xsd:restriction>
      </xsd:simpleType>
    </xsd:element>
    <xsd:element name="TaxCatchAll" ma:index="24" nillable="true" ma:displayName="Global taxonomikolumn" ma:hidden="true" ma:list="{9a1adf17-dd05-4f47-8588-da02d3527a28}" ma:internalName="TaxCatchAll" ma:showField="CatchAllData" ma:web="d2ea441f-d10b-4391-bf38-cb99f7ed83c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584e957-6aa0-48bd-98cf-220d6d784add"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_Flow_SignoffStatus" ma:index="20" nillable="true" ma:displayName="Godkännandestatus" ma:internalName="Godk_x00e4_nnandestatus">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Bildmarkeringar" ma:readOnly="false" ma:fieldId="{5cf76f15-5ced-4ddc-b409-7134ff3c332f}" ma:taxonomyMulti="true" ma:sspId="694f065a-2e2d-42d2-9022-bb659419186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997EBFE-614A-4EF7-82CE-F2EBFD86D1CD}">
  <ds:schemaRefs>
    <ds:schemaRef ds:uri="http://schemas.openxmlformats.org/officeDocument/2006/bibliography"/>
  </ds:schemaRefs>
</ds:datastoreItem>
</file>

<file path=customXml/itemProps2.xml><?xml version="1.0" encoding="utf-8"?>
<ds:datastoreItem xmlns:ds="http://schemas.openxmlformats.org/officeDocument/2006/customXml" ds:itemID="{73FA9C77-4D5C-4A47-BC83-8D5B25D3A30C}">
  <ds:schemaRefs>
    <ds:schemaRef ds:uri="http://schemas.microsoft.com/office/2006/metadata/properties"/>
    <ds:schemaRef ds:uri="http://schemas.microsoft.com/office/infopath/2007/PartnerControls"/>
    <ds:schemaRef ds:uri="8584e957-6aa0-48bd-98cf-220d6d784add"/>
    <ds:schemaRef ds:uri="d2ea441f-d10b-4391-bf38-cb99f7ed83ce"/>
  </ds:schemaRefs>
</ds:datastoreItem>
</file>

<file path=customXml/itemProps3.xml><?xml version="1.0" encoding="utf-8"?>
<ds:datastoreItem xmlns:ds="http://schemas.openxmlformats.org/officeDocument/2006/customXml" ds:itemID="{CCDD964B-20C4-4729-A82F-E57DB4665E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ea441f-d10b-4391-bf38-cb99f7ed83ce"/>
    <ds:schemaRef ds:uri="8584e957-6aa0-48bd-98cf-220d6d784a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D0353C0-63B3-4431-AB9B-1DFE245FD16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CV_Peter Axeborn_Svenska</Template>
  <TotalTime>1</TotalTime>
  <Pages>4</Pages>
  <Words>992</Words>
  <Characters>5658</Characters>
  <Application>Microsoft Office Word</Application>
  <DocSecurity>0</DocSecurity>
  <Lines>47</Lines>
  <Paragraphs>13</Paragraphs>
  <ScaleCrop>false</ScaleCrop>
  <HeadingPairs>
    <vt:vector size="6" baseType="variant">
      <vt:variant>
        <vt:lpstr>Rubrik</vt:lpstr>
      </vt:variant>
      <vt:variant>
        <vt:i4>1</vt:i4>
      </vt:variant>
      <vt:variant>
        <vt:lpstr>Title</vt:lpstr>
      </vt:variant>
      <vt:variant>
        <vt:i4>1</vt:i4>
      </vt:variant>
      <vt:variant>
        <vt:lpstr>Titel</vt:lpstr>
      </vt:variant>
      <vt:variant>
        <vt:i4>1</vt:i4>
      </vt:variant>
    </vt:vector>
  </HeadingPairs>
  <TitlesOfParts>
    <vt:vector size="3" baseType="lpstr">
      <vt:lpstr>Curriculum Vitae</vt:lpstr>
      <vt:lpstr>Curriculum Vitae</vt:lpstr>
      <vt:lpstr>Curriculum Vitae</vt:lpstr>
    </vt:vector>
  </TitlesOfParts>
  <Company>FB Engineering AB</Company>
  <LinksUpToDate>false</LinksUpToDate>
  <CharactersWithSpaces>6637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Eivind Haugland CV</dc:title>
  <dc:subject>Professional experience and qualifications</dc:subject>
  <dc:creator>Eivind Haugland</dc:creator>
  <cp:keywords/>
  <cp:lastModifiedBy>Eivind Haugland</cp:lastModifiedBy>
  <cp:revision>2</cp:revision>
  <cp:lastPrinted>2023-01-30T08:45:00Z</cp:lastPrinted>
  <dcterms:created xsi:type="dcterms:W3CDTF">2026-09-30T21:13:00Z</dcterms:created>
  <dcterms:modified xsi:type="dcterms:W3CDTF">2026-09-30T21:13:00Z</dcterms:modified>
  <dc:descript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Svensk CV (COWI)</vt:lpwstr>
  </property>
  <property fmtid="{D5CDD505-2E9C-101B-9397-08002B2CF9AE}" pid="3" name="display_urn:schemas-microsoft-com:office:office#Anv_x00e4_ndare">
    <vt:lpwstr>Markus Forsberg</vt:lpwstr>
  </property>
  <property fmtid="{D5CDD505-2E9C-101B-9397-08002B2CF9AE}" pid="4" name="xd_Signature">
    <vt:lpwstr/>
  </property>
  <property fmtid="{D5CDD505-2E9C-101B-9397-08002B2CF9AE}" pid="5" name="AnvÃ¤ndare">
    <vt:lpwstr>832</vt:lpwstr>
  </property>
  <property fmtid="{D5CDD505-2E9C-101B-9397-08002B2CF9AE}" pid="6" name="TemplateUrl">
    <vt:lpwstr/>
  </property>
  <property fmtid="{D5CDD505-2E9C-101B-9397-08002B2CF9AE}" pid="7" name="xd_ProgID">
    <vt:lpwstr/>
  </property>
  <property fmtid="{D5CDD505-2E9C-101B-9397-08002B2CF9AE}" pid="8" name="CV SprÃ¥k">
    <vt:lpwstr>Svenska</vt:lpwstr>
  </property>
  <property fmtid="{D5CDD505-2E9C-101B-9397-08002B2CF9AE}" pid="9" name="Enhet">
    <vt:lpwstr>7310 - Projektverktyg GBG</vt:lpwstr>
  </property>
  <property fmtid="{D5CDD505-2E9C-101B-9397-08002B2CF9AE}" pid="10" name="kortcv_text">
    <vt:lpwstr/>
  </property>
  <property fmtid="{D5CDD505-2E9C-101B-9397-08002B2CF9AE}" pid="11" name="Användare">
    <vt:lpwstr>378</vt:lpwstr>
  </property>
  <property fmtid="{D5CDD505-2E9C-101B-9397-08002B2CF9AE}" pid="12" name="avd">
    <vt:lpwstr>7000 - FBM</vt:lpwstr>
  </property>
  <property fmtid="{D5CDD505-2E9C-101B-9397-08002B2CF9AE}" pid="13" name="KortCV">
    <vt:lpwstr/>
  </property>
  <property fmtid="{D5CDD505-2E9C-101B-9397-08002B2CF9AE}" pid="14" name="CV Språk">
    <vt:lpwstr>Svenska</vt:lpwstr>
  </property>
  <property fmtid="{D5CDD505-2E9C-101B-9397-08002B2CF9AE}" pid="15" name="ContentTypeId">
    <vt:lpwstr>0x010100EED158BA9BB8FD4A814E544F00CCDCD3</vt:lpwstr>
  </property>
  <property fmtid="{D5CDD505-2E9C-101B-9397-08002B2CF9AE}" pid="16" name="MediaServiceImageTags">
    <vt:lpwstr/>
  </property>
</Properties>
</file>